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wmf" ContentType="image/x-w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4"/>
        <w:rPr>
          <w:rFonts w:cs="Times New Roman"/>
          <w:color w:val="auto"/>
          <w:sz w:val="56"/>
          <w:szCs w:val="56"/>
        </w:rPr>
      </w:pPr>
      <w:bookmarkStart w:id="0" w:name="_Toc1349"/>
      <w:bookmarkStart w:id="1" w:name="_Toc5881"/>
      <w:bookmarkStart w:id="2" w:name="_Toc25116"/>
      <w:bookmarkStart w:id="3" w:name="_Toc21625"/>
      <w:bookmarkStart w:id="4" w:name="_Toc10049"/>
      <w:bookmarkStart w:id="5" w:name="_Toc31861"/>
      <w:bookmarkStart w:id="6" w:name="_Toc30736"/>
      <w:bookmarkStart w:id="7" w:name="_Toc20615"/>
    </w:p>
    <w:p>
      <w:pPr>
        <w:ind w:firstLine="1120"/>
        <w:rPr>
          <w:rFonts w:cs="Times New Roman"/>
          <w:color w:val="auto"/>
          <w:sz w:val="56"/>
          <w:szCs w:val="56"/>
        </w:rPr>
      </w:pPr>
    </w:p>
    <w:p>
      <w:pPr>
        <w:ind w:firstLine="560"/>
        <w:rPr>
          <w:rFonts w:cs="Times New Roman"/>
          <w:color w:val="auto"/>
        </w:rPr>
      </w:pPr>
    </w:p>
    <w:p>
      <w:pPr>
        <w:ind w:firstLine="0" w:firstLineChars="0"/>
        <w:jc w:val="center"/>
        <w:rPr>
          <w:rFonts w:cs="Times New Roman"/>
          <w:b/>
          <w:bCs/>
          <w:color w:val="auto"/>
          <w:sz w:val="52"/>
          <w:szCs w:val="52"/>
        </w:rPr>
      </w:pPr>
      <w:r>
        <w:rPr>
          <w:rFonts w:cs="Times New Roman"/>
          <w:b/>
          <w:bCs/>
          <w:color w:val="auto"/>
          <w:sz w:val="52"/>
          <w:szCs w:val="52"/>
        </w:rPr>
        <w:t>绥棱县“十四五”生态功能</w:t>
      </w:r>
      <w:bookmarkEnd w:id="0"/>
      <w:bookmarkStart w:id="8" w:name="_Toc268"/>
    </w:p>
    <w:p>
      <w:pPr>
        <w:ind w:firstLine="0" w:firstLineChars="0"/>
        <w:jc w:val="center"/>
        <w:rPr>
          <w:rFonts w:cs="Times New Roman"/>
          <w:b/>
          <w:bCs/>
          <w:color w:val="auto"/>
          <w:sz w:val="52"/>
          <w:szCs w:val="52"/>
        </w:rPr>
      </w:pPr>
      <w:r>
        <w:rPr>
          <w:rFonts w:cs="Times New Roman"/>
          <w:b/>
          <w:bCs/>
          <w:color w:val="auto"/>
          <w:sz w:val="52"/>
          <w:szCs w:val="52"/>
        </w:rPr>
        <w:t>保护修复规划</w:t>
      </w:r>
      <w:bookmarkEnd w:id="1"/>
      <w:bookmarkEnd w:id="2"/>
      <w:bookmarkEnd w:id="3"/>
      <w:bookmarkEnd w:id="4"/>
      <w:bookmarkEnd w:id="5"/>
      <w:bookmarkEnd w:id="6"/>
      <w:bookmarkEnd w:id="7"/>
      <w:bookmarkEnd w:id="8"/>
    </w:p>
    <w:p>
      <w:pPr>
        <w:ind w:firstLine="562"/>
        <w:rPr>
          <w:rFonts w:cs="Times New Roman"/>
          <w:b/>
          <w:bCs/>
          <w:color w:val="auto"/>
          <w:szCs w:val="22"/>
        </w:rPr>
      </w:pPr>
    </w:p>
    <w:p>
      <w:pPr>
        <w:ind w:firstLine="562"/>
        <w:rPr>
          <w:rFonts w:cs="Times New Roman"/>
          <w:b/>
          <w:bCs/>
          <w:color w:val="auto"/>
          <w:szCs w:val="22"/>
        </w:rPr>
      </w:pPr>
    </w:p>
    <w:p>
      <w:pPr>
        <w:ind w:firstLine="562"/>
        <w:rPr>
          <w:rFonts w:cs="Times New Roman"/>
          <w:b/>
          <w:bCs/>
          <w:color w:val="auto"/>
          <w:szCs w:val="22"/>
        </w:rPr>
      </w:pPr>
    </w:p>
    <w:p>
      <w:pPr>
        <w:ind w:firstLine="562"/>
        <w:rPr>
          <w:rFonts w:cs="Times New Roman"/>
          <w:b/>
          <w:bCs/>
          <w:color w:val="auto"/>
          <w:szCs w:val="22"/>
        </w:rPr>
      </w:pPr>
    </w:p>
    <w:p>
      <w:pPr>
        <w:ind w:firstLine="562"/>
        <w:rPr>
          <w:rFonts w:cs="Times New Roman"/>
          <w:b/>
          <w:bCs/>
          <w:color w:val="auto"/>
          <w:szCs w:val="22"/>
        </w:rPr>
      </w:pPr>
    </w:p>
    <w:p>
      <w:pPr>
        <w:ind w:firstLine="562"/>
        <w:rPr>
          <w:rFonts w:cs="Times New Roman"/>
          <w:b/>
          <w:bCs/>
          <w:color w:val="auto"/>
          <w:szCs w:val="22"/>
        </w:rPr>
      </w:pPr>
    </w:p>
    <w:p>
      <w:pPr>
        <w:ind w:firstLine="562"/>
        <w:rPr>
          <w:rFonts w:cs="Times New Roman"/>
          <w:b/>
          <w:bCs/>
          <w:color w:val="auto"/>
          <w:szCs w:val="22"/>
        </w:rPr>
      </w:pPr>
    </w:p>
    <w:p>
      <w:pPr>
        <w:pStyle w:val="10"/>
        <w:ind w:firstLine="560"/>
        <w:rPr>
          <w:rFonts w:cs="Times New Roman"/>
          <w:color w:val="auto"/>
        </w:rPr>
      </w:pPr>
    </w:p>
    <w:p>
      <w:pPr>
        <w:ind w:firstLine="562"/>
        <w:rPr>
          <w:rFonts w:cs="Times New Roman"/>
          <w:b/>
          <w:bCs/>
          <w:color w:val="auto"/>
          <w:szCs w:val="22"/>
        </w:rPr>
      </w:pPr>
    </w:p>
    <w:p>
      <w:pPr>
        <w:ind w:firstLine="0" w:firstLineChars="0"/>
        <w:rPr>
          <w:rFonts w:cs="Times New Roman"/>
          <w:b/>
          <w:bCs/>
          <w:color w:val="auto"/>
          <w:szCs w:val="22"/>
        </w:rPr>
      </w:pPr>
    </w:p>
    <w:p>
      <w:pPr>
        <w:ind w:firstLine="0" w:firstLineChars="0"/>
        <w:jc w:val="center"/>
        <w:rPr>
          <w:rFonts w:cs="Times New Roman"/>
          <w:b/>
          <w:bCs/>
          <w:color w:val="auto"/>
          <w:sz w:val="40"/>
          <w:szCs w:val="36"/>
        </w:rPr>
      </w:pPr>
      <w:r>
        <w:rPr>
          <w:rFonts w:cs="Times New Roman"/>
          <w:b/>
          <w:bCs/>
          <w:color w:val="auto"/>
          <w:sz w:val="40"/>
          <w:szCs w:val="36"/>
        </w:rPr>
        <w:t>绥棱县人民政府</w:t>
      </w:r>
    </w:p>
    <w:p>
      <w:pPr>
        <w:ind w:firstLine="0" w:firstLineChars="0"/>
        <w:jc w:val="center"/>
        <w:rPr>
          <w:rFonts w:eastAsia="宋体" w:cs="Times New Roman"/>
          <w:b/>
          <w:bCs/>
          <w:color w:val="auto"/>
          <w:sz w:val="40"/>
          <w:szCs w:val="36"/>
        </w:rPr>
        <w:sectPr>
          <w:pgSz w:w="11906" w:h="16838"/>
          <w:pgMar w:top="1440" w:right="1800" w:bottom="1440" w:left="1800" w:header="851" w:footer="992" w:gutter="0"/>
          <w:cols w:space="425" w:num="1"/>
          <w:docGrid w:type="lines" w:linePitch="312" w:charSpace="0"/>
        </w:sectPr>
      </w:pPr>
      <w:r>
        <w:rPr>
          <w:rFonts w:cs="Times New Roman"/>
          <w:b/>
          <w:bCs/>
          <w:color w:val="auto"/>
          <w:sz w:val="40"/>
          <w:szCs w:val="36"/>
        </w:rPr>
        <w:t>二〇二三年</w:t>
      </w:r>
      <w:r>
        <w:rPr>
          <w:rFonts w:hint="eastAsia" w:cs="Times New Roman"/>
          <w:b/>
          <w:bCs/>
          <w:color w:val="auto"/>
          <w:sz w:val="40"/>
          <w:szCs w:val="36"/>
          <w:lang w:val="en-US" w:eastAsia="zh-CN"/>
        </w:rPr>
        <w:t>十</w:t>
      </w:r>
      <w:r>
        <w:rPr>
          <w:rFonts w:cs="Times New Roman"/>
          <w:b/>
          <w:bCs/>
          <w:color w:val="auto"/>
          <w:sz w:val="40"/>
          <w:szCs w:val="36"/>
        </w:rPr>
        <w:t>月</w:t>
      </w:r>
    </w:p>
    <w:p>
      <w:pPr>
        <w:ind w:firstLine="0" w:firstLineChars="0"/>
        <w:jc w:val="center"/>
        <w:rPr>
          <w:rFonts w:eastAsia="黑体" w:cs="Times New Roman"/>
          <w:color w:val="auto"/>
          <w:sz w:val="40"/>
          <w:szCs w:val="40"/>
        </w:rPr>
      </w:pPr>
    </w:p>
    <w:p>
      <w:pPr>
        <w:ind w:firstLine="0" w:firstLineChars="0"/>
        <w:jc w:val="center"/>
        <w:rPr>
          <w:rFonts w:eastAsia="黑体" w:cs="Times New Roman"/>
          <w:color w:val="auto"/>
          <w:sz w:val="40"/>
          <w:szCs w:val="40"/>
          <w:highlight w:val="none"/>
        </w:rPr>
      </w:pPr>
    </w:p>
    <w:p>
      <w:pPr>
        <w:ind w:firstLine="0" w:firstLineChars="0"/>
        <w:jc w:val="center"/>
        <w:rPr>
          <w:rFonts w:cs="Times New Roman"/>
          <w:b/>
          <w:bCs/>
          <w:color w:val="auto"/>
          <w:sz w:val="40"/>
          <w:szCs w:val="40"/>
          <w:highlight w:val="none"/>
        </w:rPr>
      </w:pPr>
      <w:r>
        <w:rPr>
          <w:rFonts w:cs="Times New Roman"/>
          <w:b/>
          <w:bCs/>
          <w:color w:val="auto"/>
          <w:sz w:val="40"/>
          <w:szCs w:val="40"/>
          <w:highlight w:val="none"/>
        </w:rPr>
        <w:t>《绥棱县“十四五”生态功能保护修复规划》</w:t>
      </w:r>
    </w:p>
    <w:p>
      <w:pPr>
        <w:ind w:firstLine="0" w:firstLineChars="0"/>
        <w:jc w:val="center"/>
        <w:rPr>
          <w:rFonts w:cs="Times New Roman"/>
          <w:b/>
          <w:bCs/>
          <w:color w:val="auto"/>
          <w:sz w:val="40"/>
          <w:szCs w:val="40"/>
          <w:highlight w:val="none"/>
        </w:rPr>
      </w:pPr>
      <w:r>
        <w:rPr>
          <w:rFonts w:cs="Times New Roman"/>
          <w:b/>
          <w:bCs/>
          <w:color w:val="auto"/>
          <w:sz w:val="40"/>
          <w:szCs w:val="40"/>
          <w:highlight w:val="none"/>
        </w:rPr>
        <w:t>编 制 组</w:t>
      </w:r>
    </w:p>
    <w:p>
      <w:pPr>
        <w:ind w:firstLine="803"/>
        <w:jc w:val="center"/>
        <w:rPr>
          <w:rFonts w:cs="Times New Roman"/>
          <w:b/>
          <w:bCs/>
          <w:color w:val="auto"/>
          <w:sz w:val="40"/>
          <w:szCs w:val="48"/>
          <w:highlight w:val="yellow"/>
        </w:rPr>
      </w:pPr>
    </w:p>
    <w:p>
      <w:pPr>
        <w:spacing w:before="312" w:beforeLines="100" w:after="312" w:afterLines="100" w:line="480" w:lineRule="auto"/>
        <w:rPr>
          <w:rFonts w:cs="Times New Roman"/>
          <w:b/>
          <w:bCs/>
          <w:color w:val="auto"/>
          <w:sz w:val="36"/>
          <w:szCs w:val="36"/>
          <w:highlight w:val="none"/>
        </w:rPr>
      </w:pPr>
      <w:r>
        <w:rPr>
          <w:rFonts w:cs="Times New Roman"/>
          <w:b/>
          <w:bCs/>
          <w:color w:val="auto"/>
          <w:sz w:val="36"/>
          <w:szCs w:val="36"/>
          <w:highlight w:val="none"/>
        </w:rPr>
        <w:t>规划编制单位：</w:t>
      </w:r>
      <w:r>
        <w:rPr>
          <w:rFonts w:hint="eastAsia" w:cs="Times New Roman"/>
          <w:b/>
          <w:bCs/>
          <w:color w:val="auto"/>
          <w:sz w:val="36"/>
          <w:szCs w:val="36"/>
          <w:highlight w:val="none"/>
        </w:rPr>
        <w:t>黑龙江省大圣环保科技有限公司</w:t>
      </w:r>
    </w:p>
    <w:p>
      <w:pPr>
        <w:spacing w:before="312" w:beforeLines="100" w:after="312" w:afterLines="100" w:line="480" w:lineRule="auto"/>
        <w:rPr>
          <w:rFonts w:cs="Times New Roman"/>
          <w:b/>
          <w:bCs/>
          <w:color w:val="auto"/>
          <w:sz w:val="36"/>
          <w:szCs w:val="36"/>
          <w:highlight w:val="none"/>
        </w:rPr>
      </w:pPr>
      <w:r>
        <w:rPr>
          <w:rFonts w:cs="Times New Roman"/>
          <w:b/>
          <w:bCs/>
          <w:color w:val="auto"/>
          <w:sz w:val="36"/>
          <w:szCs w:val="36"/>
          <w:highlight w:val="none"/>
        </w:rPr>
        <w:t>规划技术审核：</w:t>
      </w:r>
      <w:r>
        <w:rPr>
          <w:rFonts w:hint="eastAsia" w:cs="Times New Roman"/>
          <w:b/>
          <w:bCs/>
          <w:color w:val="auto"/>
          <w:sz w:val="36"/>
          <w:szCs w:val="36"/>
          <w:highlight w:val="none"/>
        </w:rPr>
        <w:t>宋雅凤</w:t>
      </w:r>
    </w:p>
    <w:p>
      <w:pPr>
        <w:spacing w:before="312" w:beforeLines="100" w:after="312" w:afterLines="100" w:line="480" w:lineRule="auto"/>
        <w:rPr>
          <w:rFonts w:cs="Times New Roman"/>
          <w:b/>
          <w:bCs/>
          <w:color w:val="auto"/>
          <w:sz w:val="36"/>
          <w:szCs w:val="36"/>
          <w:highlight w:val="none"/>
        </w:rPr>
      </w:pPr>
      <w:r>
        <w:rPr>
          <w:rFonts w:cs="Times New Roman"/>
          <w:b/>
          <w:bCs/>
          <w:color w:val="auto"/>
          <w:sz w:val="36"/>
          <w:szCs w:val="36"/>
          <w:highlight w:val="none"/>
        </w:rPr>
        <w:t>规划编制负责人：</w:t>
      </w:r>
      <w:r>
        <w:rPr>
          <w:rFonts w:hint="eastAsia" w:cs="Times New Roman"/>
          <w:b/>
          <w:bCs/>
          <w:color w:val="auto"/>
          <w:sz w:val="36"/>
          <w:szCs w:val="36"/>
          <w:highlight w:val="none"/>
        </w:rPr>
        <w:t>陈丽丽</w:t>
      </w:r>
    </w:p>
    <w:p>
      <w:pPr>
        <w:rPr>
          <w:rFonts w:cs="Times New Roman"/>
          <w:b/>
          <w:bCs/>
          <w:color w:val="auto"/>
          <w:sz w:val="36"/>
          <w:szCs w:val="36"/>
          <w:highlight w:val="none"/>
        </w:rPr>
      </w:pPr>
      <w:r>
        <w:rPr>
          <w:rFonts w:cs="Times New Roman"/>
          <w:b/>
          <w:bCs/>
          <w:color w:val="auto"/>
          <w:sz w:val="36"/>
          <w:szCs w:val="36"/>
          <w:highlight w:val="none"/>
        </w:rPr>
        <w:t>规划编制组成员：</w:t>
      </w:r>
      <w:r>
        <w:rPr>
          <w:rFonts w:hint="eastAsia" w:cs="Times New Roman"/>
          <w:b/>
          <w:bCs/>
          <w:color w:val="auto"/>
          <w:sz w:val="36"/>
          <w:szCs w:val="36"/>
          <w:highlight w:val="none"/>
        </w:rPr>
        <w:t>宋雅凤、陈丽丽、龙连晶</w:t>
      </w:r>
    </w:p>
    <w:p>
      <w:pPr>
        <w:spacing w:before="312" w:beforeLines="100" w:after="312" w:afterLines="100" w:line="480" w:lineRule="auto"/>
        <w:rPr>
          <w:rFonts w:cs="Times New Roman"/>
          <w:b/>
          <w:bCs/>
          <w:color w:val="auto"/>
          <w:sz w:val="36"/>
          <w:szCs w:val="36"/>
          <w:highlight w:val="none"/>
        </w:rPr>
      </w:pPr>
      <w:r>
        <w:rPr>
          <w:rFonts w:cs="Times New Roman"/>
          <w:b/>
          <w:bCs/>
          <w:color w:val="auto"/>
          <w:sz w:val="36"/>
          <w:szCs w:val="36"/>
          <w:highlight w:val="none"/>
        </w:rPr>
        <w:t>协作单位：</w:t>
      </w:r>
      <w:r>
        <w:rPr>
          <w:rFonts w:hint="eastAsia" w:cs="Times New Roman"/>
          <w:b/>
          <w:bCs/>
          <w:color w:val="auto"/>
          <w:sz w:val="36"/>
          <w:szCs w:val="36"/>
          <w:highlight w:val="none"/>
        </w:rPr>
        <w:t>绥化市</w:t>
      </w:r>
      <w:r>
        <w:rPr>
          <w:rFonts w:cs="Times New Roman"/>
          <w:b/>
          <w:bCs/>
          <w:color w:val="auto"/>
          <w:sz w:val="36"/>
          <w:szCs w:val="36"/>
          <w:highlight w:val="none"/>
        </w:rPr>
        <w:t>绥棱生态环境局</w:t>
      </w:r>
    </w:p>
    <w:p>
      <w:pPr>
        <w:ind w:firstLine="560"/>
        <w:rPr>
          <w:rFonts w:cs="Times New Roman"/>
          <w:color w:val="auto"/>
          <w:u w:val="single"/>
        </w:rPr>
        <w:sectPr>
          <w:footerReference r:id="rId5" w:type="default"/>
          <w:pgSz w:w="11906" w:h="16838"/>
          <w:pgMar w:top="1440" w:right="1800" w:bottom="1440" w:left="1800" w:header="851" w:footer="992" w:gutter="0"/>
          <w:cols w:space="425" w:num="1"/>
          <w:docGrid w:type="lines" w:linePitch="312" w:charSpace="0"/>
        </w:sectPr>
      </w:pPr>
    </w:p>
    <w:p>
      <w:pPr>
        <w:ind w:firstLine="0" w:firstLineChars="0"/>
        <w:jc w:val="center"/>
        <w:rPr>
          <w:rFonts w:cs="Times New Roman"/>
          <w:b/>
          <w:color w:val="auto"/>
          <w:sz w:val="44"/>
          <w:szCs w:val="44"/>
        </w:rPr>
      </w:pPr>
      <w:r>
        <w:rPr>
          <w:rFonts w:cs="Times New Roman"/>
          <w:b/>
          <w:color w:val="auto"/>
          <w:sz w:val="44"/>
          <w:szCs w:val="44"/>
        </w:rPr>
        <w:t>目  录</w:t>
      </w:r>
    </w:p>
    <w:p>
      <w:pPr>
        <w:pStyle w:val="15"/>
        <w:ind w:left="0" w:leftChars="0" w:firstLine="0" w:firstLineChars="0"/>
        <w:rPr>
          <w:color w:val="auto"/>
        </w:rPr>
      </w:pPr>
    </w:p>
    <w:p>
      <w:pPr>
        <w:pStyle w:val="10"/>
        <w:tabs>
          <w:tab w:val="right" w:leader="dot" w:pos="8306"/>
        </w:tabs>
        <w:rPr>
          <w:b/>
          <w:bCs/>
          <w:color w:val="auto"/>
          <w:sz w:val="30"/>
          <w:szCs w:val="30"/>
        </w:rPr>
      </w:pPr>
      <w:r>
        <w:rPr>
          <w:rFonts w:cs="Times New Roman"/>
          <w:b/>
          <w:bCs/>
          <w:color w:val="auto"/>
          <w:sz w:val="30"/>
          <w:szCs w:val="30"/>
        </w:rPr>
        <w:fldChar w:fldCharType="begin"/>
      </w:r>
      <w:r>
        <w:rPr>
          <w:rFonts w:cs="Times New Roman"/>
          <w:b/>
          <w:bCs/>
          <w:color w:val="auto"/>
          <w:sz w:val="30"/>
          <w:szCs w:val="30"/>
        </w:rPr>
        <w:instrText xml:space="preserve">TOC \o "1-2" \h \u </w:instrText>
      </w:r>
      <w:r>
        <w:rPr>
          <w:rFonts w:cs="Times New Roman"/>
          <w:b/>
          <w:bCs/>
          <w:color w:val="auto"/>
          <w:sz w:val="30"/>
          <w:szCs w:val="30"/>
        </w:rPr>
        <w:fldChar w:fldCharType="separate"/>
      </w:r>
      <w:r>
        <w:rPr>
          <w:rFonts w:cs="Times New Roman"/>
          <w:b/>
          <w:bCs/>
          <w:color w:val="auto"/>
          <w:sz w:val="30"/>
          <w:szCs w:val="30"/>
        </w:rPr>
        <w:fldChar w:fldCharType="begin"/>
      </w:r>
      <w:r>
        <w:rPr>
          <w:rFonts w:cs="Times New Roman"/>
          <w:b/>
          <w:bCs/>
          <w:color w:val="auto"/>
          <w:sz w:val="30"/>
          <w:szCs w:val="30"/>
        </w:rPr>
        <w:instrText xml:space="preserve"> HYPERLINK \l _Toc6615 </w:instrText>
      </w:r>
      <w:r>
        <w:rPr>
          <w:rFonts w:cs="Times New Roman"/>
          <w:b/>
          <w:bCs/>
          <w:color w:val="auto"/>
          <w:sz w:val="30"/>
          <w:szCs w:val="30"/>
        </w:rPr>
        <w:fldChar w:fldCharType="separate"/>
      </w:r>
      <w:r>
        <w:rPr>
          <w:rFonts w:hint="default" w:ascii="Times New Roman" w:hAnsi="Times New Roman" w:eastAsia="仿宋"/>
          <w:b/>
          <w:bCs/>
          <w:color w:val="auto"/>
          <w:sz w:val="30"/>
          <w:szCs w:val="30"/>
        </w:rPr>
        <w:t>1 总则</w:t>
      </w:r>
      <w:r>
        <w:rPr>
          <w:b/>
          <w:bCs/>
          <w:color w:val="auto"/>
          <w:sz w:val="30"/>
          <w:szCs w:val="30"/>
        </w:rPr>
        <w:tab/>
      </w:r>
      <w:r>
        <w:rPr>
          <w:b/>
          <w:bCs/>
          <w:color w:val="auto"/>
          <w:sz w:val="30"/>
          <w:szCs w:val="30"/>
        </w:rPr>
        <w:fldChar w:fldCharType="begin"/>
      </w:r>
      <w:r>
        <w:rPr>
          <w:b/>
          <w:bCs/>
          <w:color w:val="auto"/>
          <w:sz w:val="30"/>
          <w:szCs w:val="30"/>
        </w:rPr>
        <w:instrText xml:space="preserve"> PAGEREF _Toc6615 \h </w:instrText>
      </w:r>
      <w:r>
        <w:rPr>
          <w:b/>
          <w:bCs/>
          <w:color w:val="auto"/>
          <w:sz w:val="30"/>
          <w:szCs w:val="30"/>
        </w:rPr>
        <w:fldChar w:fldCharType="separate"/>
      </w:r>
      <w:r>
        <w:rPr>
          <w:b/>
          <w:bCs/>
          <w:color w:val="auto"/>
          <w:sz w:val="30"/>
          <w:szCs w:val="30"/>
        </w:rPr>
        <w:t>1</w:t>
      </w:r>
      <w:r>
        <w:rPr>
          <w:b/>
          <w:bCs/>
          <w:color w:val="auto"/>
          <w:sz w:val="30"/>
          <w:szCs w:val="30"/>
        </w:rPr>
        <w:fldChar w:fldCharType="end"/>
      </w:r>
      <w:r>
        <w:rPr>
          <w:rFonts w:cs="Times New Roman"/>
          <w:b/>
          <w:bCs/>
          <w:color w:val="auto"/>
          <w:sz w:val="30"/>
          <w:szCs w:val="30"/>
        </w:rPr>
        <w:fldChar w:fldCharType="end"/>
      </w:r>
    </w:p>
    <w:p>
      <w:pPr>
        <w:pStyle w:val="12"/>
        <w:tabs>
          <w:tab w:val="right" w:leader="dot" w:pos="8306"/>
        </w:tabs>
        <w:rPr>
          <w:b/>
          <w:bCs/>
          <w:color w:val="auto"/>
          <w:sz w:val="30"/>
          <w:szCs w:val="30"/>
        </w:rPr>
      </w:pPr>
      <w:r>
        <w:rPr>
          <w:rFonts w:cs="Times New Roman"/>
          <w:b/>
          <w:bCs/>
          <w:color w:val="auto"/>
          <w:sz w:val="30"/>
          <w:szCs w:val="30"/>
        </w:rPr>
        <w:fldChar w:fldCharType="begin"/>
      </w:r>
      <w:r>
        <w:rPr>
          <w:rFonts w:cs="Times New Roman"/>
          <w:b/>
          <w:bCs/>
          <w:color w:val="auto"/>
          <w:sz w:val="30"/>
          <w:szCs w:val="30"/>
        </w:rPr>
        <w:instrText xml:space="preserve"> HYPERLINK \l _Toc2618 </w:instrText>
      </w:r>
      <w:r>
        <w:rPr>
          <w:rFonts w:cs="Times New Roman"/>
          <w:b/>
          <w:bCs/>
          <w:color w:val="auto"/>
          <w:sz w:val="30"/>
          <w:szCs w:val="30"/>
        </w:rPr>
        <w:fldChar w:fldCharType="separate"/>
      </w:r>
      <w:r>
        <w:rPr>
          <w:rFonts w:hint="default" w:ascii="Times New Roman" w:hAnsi="Times New Roman" w:eastAsia="仿宋" w:cs="Times New Roman"/>
          <w:b/>
          <w:bCs/>
          <w:color w:val="auto"/>
          <w:sz w:val="30"/>
          <w:szCs w:val="30"/>
        </w:rPr>
        <w:t xml:space="preserve">1.1 </w:t>
      </w:r>
      <w:r>
        <w:rPr>
          <w:rFonts w:ascii="Times New Roman" w:hAnsi="Times New Roman" w:eastAsia="仿宋" w:cs="Times New Roman"/>
          <w:b/>
          <w:bCs/>
          <w:color w:val="auto"/>
          <w:sz w:val="30"/>
          <w:szCs w:val="30"/>
        </w:rPr>
        <w:t>规划编制背景</w:t>
      </w:r>
      <w:r>
        <w:rPr>
          <w:b/>
          <w:bCs/>
          <w:color w:val="auto"/>
          <w:sz w:val="30"/>
          <w:szCs w:val="30"/>
        </w:rPr>
        <w:tab/>
      </w:r>
      <w:r>
        <w:rPr>
          <w:b/>
          <w:bCs/>
          <w:color w:val="auto"/>
          <w:sz w:val="30"/>
          <w:szCs w:val="30"/>
        </w:rPr>
        <w:fldChar w:fldCharType="begin"/>
      </w:r>
      <w:r>
        <w:rPr>
          <w:b/>
          <w:bCs/>
          <w:color w:val="auto"/>
          <w:sz w:val="30"/>
          <w:szCs w:val="30"/>
        </w:rPr>
        <w:instrText xml:space="preserve"> PAGEREF _Toc2618 \h </w:instrText>
      </w:r>
      <w:r>
        <w:rPr>
          <w:b/>
          <w:bCs/>
          <w:color w:val="auto"/>
          <w:sz w:val="30"/>
          <w:szCs w:val="30"/>
        </w:rPr>
        <w:fldChar w:fldCharType="separate"/>
      </w:r>
      <w:r>
        <w:rPr>
          <w:b/>
          <w:bCs/>
          <w:color w:val="auto"/>
          <w:sz w:val="30"/>
          <w:szCs w:val="30"/>
        </w:rPr>
        <w:t>1</w:t>
      </w:r>
      <w:r>
        <w:rPr>
          <w:b/>
          <w:bCs/>
          <w:color w:val="auto"/>
          <w:sz w:val="30"/>
          <w:szCs w:val="30"/>
        </w:rPr>
        <w:fldChar w:fldCharType="end"/>
      </w:r>
      <w:r>
        <w:rPr>
          <w:rFonts w:cs="Times New Roman"/>
          <w:b/>
          <w:bCs/>
          <w:color w:val="auto"/>
          <w:sz w:val="30"/>
          <w:szCs w:val="30"/>
        </w:rPr>
        <w:fldChar w:fldCharType="end"/>
      </w:r>
    </w:p>
    <w:p>
      <w:pPr>
        <w:pStyle w:val="12"/>
        <w:tabs>
          <w:tab w:val="right" w:leader="dot" w:pos="8306"/>
        </w:tabs>
        <w:rPr>
          <w:b/>
          <w:bCs/>
          <w:color w:val="auto"/>
          <w:sz w:val="30"/>
          <w:szCs w:val="30"/>
        </w:rPr>
      </w:pPr>
      <w:r>
        <w:rPr>
          <w:rFonts w:cs="Times New Roman"/>
          <w:b/>
          <w:bCs/>
          <w:color w:val="auto"/>
          <w:sz w:val="30"/>
          <w:szCs w:val="30"/>
        </w:rPr>
        <w:fldChar w:fldCharType="begin"/>
      </w:r>
      <w:r>
        <w:rPr>
          <w:rFonts w:cs="Times New Roman"/>
          <w:b/>
          <w:bCs/>
          <w:color w:val="auto"/>
          <w:sz w:val="30"/>
          <w:szCs w:val="30"/>
        </w:rPr>
        <w:instrText xml:space="preserve"> HYPERLINK \l _Toc7457 </w:instrText>
      </w:r>
      <w:r>
        <w:rPr>
          <w:rFonts w:cs="Times New Roman"/>
          <w:b/>
          <w:bCs/>
          <w:color w:val="auto"/>
          <w:sz w:val="30"/>
          <w:szCs w:val="30"/>
        </w:rPr>
        <w:fldChar w:fldCharType="separate"/>
      </w:r>
      <w:r>
        <w:rPr>
          <w:rFonts w:hint="default" w:ascii="Times New Roman" w:hAnsi="Times New Roman" w:eastAsia="仿宋" w:cs="Times New Roman"/>
          <w:b/>
          <w:bCs/>
          <w:color w:val="auto"/>
          <w:sz w:val="30"/>
          <w:szCs w:val="30"/>
        </w:rPr>
        <w:t xml:space="preserve">1.2 </w:t>
      </w:r>
      <w:r>
        <w:rPr>
          <w:rFonts w:ascii="Times New Roman" w:hAnsi="Times New Roman" w:eastAsia="仿宋" w:cs="Times New Roman"/>
          <w:b/>
          <w:bCs/>
          <w:color w:val="auto"/>
          <w:sz w:val="30"/>
          <w:szCs w:val="30"/>
        </w:rPr>
        <w:t>规划依据</w:t>
      </w:r>
      <w:r>
        <w:rPr>
          <w:b/>
          <w:bCs/>
          <w:color w:val="auto"/>
          <w:sz w:val="30"/>
          <w:szCs w:val="30"/>
        </w:rPr>
        <w:tab/>
      </w:r>
      <w:r>
        <w:rPr>
          <w:b/>
          <w:bCs/>
          <w:color w:val="auto"/>
          <w:sz w:val="30"/>
          <w:szCs w:val="30"/>
        </w:rPr>
        <w:fldChar w:fldCharType="begin"/>
      </w:r>
      <w:r>
        <w:rPr>
          <w:b/>
          <w:bCs/>
          <w:color w:val="auto"/>
          <w:sz w:val="30"/>
          <w:szCs w:val="30"/>
        </w:rPr>
        <w:instrText xml:space="preserve"> PAGEREF _Toc7457 \h </w:instrText>
      </w:r>
      <w:r>
        <w:rPr>
          <w:b/>
          <w:bCs/>
          <w:color w:val="auto"/>
          <w:sz w:val="30"/>
          <w:szCs w:val="30"/>
        </w:rPr>
        <w:fldChar w:fldCharType="separate"/>
      </w:r>
      <w:r>
        <w:rPr>
          <w:b/>
          <w:bCs/>
          <w:color w:val="auto"/>
          <w:sz w:val="30"/>
          <w:szCs w:val="30"/>
        </w:rPr>
        <w:t>2</w:t>
      </w:r>
      <w:r>
        <w:rPr>
          <w:b/>
          <w:bCs/>
          <w:color w:val="auto"/>
          <w:sz w:val="30"/>
          <w:szCs w:val="30"/>
        </w:rPr>
        <w:fldChar w:fldCharType="end"/>
      </w:r>
      <w:r>
        <w:rPr>
          <w:rFonts w:cs="Times New Roman"/>
          <w:b/>
          <w:bCs/>
          <w:color w:val="auto"/>
          <w:sz w:val="30"/>
          <w:szCs w:val="30"/>
        </w:rPr>
        <w:fldChar w:fldCharType="end"/>
      </w:r>
    </w:p>
    <w:p>
      <w:pPr>
        <w:pStyle w:val="12"/>
        <w:tabs>
          <w:tab w:val="right" w:leader="dot" w:pos="8306"/>
        </w:tabs>
        <w:rPr>
          <w:b/>
          <w:bCs/>
          <w:color w:val="auto"/>
          <w:sz w:val="30"/>
          <w:szCs w:val="30"/>
        </w:rPr>
      </w:pPr>
      <w:r>
        <w:rPr>
          <w:rFonts w:cs="Times New Roman"/>
          <w:b/>
          <w:bCs/>
          <w:color w:val="auto"/>
          <w:sz w:val="30"/>
          <w:szCs w:val="30"/>
        </w:rPr>
        <w:fldChar w:fldCharType="begin"/>
      </w:r>
      <w:r>
        <w:rPr>
          <w:rFonts w:cs="Times New Roman"/>
          <w:b/>
          <w:bCs/>
          <w:color w:val="auto"/>
          <w:sz w:val="30"/>
          <w:szCs w:val="30"/>
        </w:rPr>
        <w:instrText xml:space="preserve"> HYPERLINK \l _Toc4714 </w:instrText>
      </w:r>
      <w:r>
        <w:rPr>
          <w:rFonts w:cs="Times New Roman"/>
          <w:b/>
          <w:bCs/>
          <w:color w:val="auto"/>
          <w:sz w:val="30"/>
          <w:szCs w:val="30"/>
        </w:rPr>
        <w:fldChar w:fldCharType="separate"/>
      </w:r>
      <w:r>
        <w:rPr>
          <w:rFonts w:hint="default" w:ascii="Times New Roman" w:hAnsi="Times New Roman" w:eastAsia="仿宋" w:cs="Times New Roman"/>
          <w:b/>
          <w:bCs/>
          <w:color w:val="auto"/>
          <w:sz w:val="30"/>
          <w:szCs w:val="30"/>
        </w:rPr>
        <w:t xml:space="preserve">1.3 </w:t>
      </w:r>
      <w:r>
        <w:rPr>
          <w:rFonts w:ascii="Times New Roman" w:hAnsi="Times New Roman" w:eastAsia="仿宋" w:cs="Times New Roman"/>
          <w:b/>
          <w:bCs/>
          <w:color w:val="auto"/>
          <w:sz w:val="30"/>
          <w:szCs w:val="30"/>
        </w:rPr>
        <w:t>指导思想</w:t>
      </w:r>
      <w:r>
        <w:rPr>
          <w:b/>
          <w:bCs/>
          <w:color w:val="auto"/>
          <w:sz w:val="30"/>
          <w:szCs w:val="30"/>
        </w:rPr>
        <w:tab/>
      </w:r>
      <w:r>
        <w:rPr>
          <w:b/>
          <w:bCs/>
          <w:color w:val="auto"/>
          <w:sz w:val="30"/>
          <w:szCs w:val="30"/>
        </w:rPr>
        <w:fldChar w:fldCharType="begin"/>
      </w:r>
      <w:r>
        <w:rPr>
          <w:b/>
          <w:bCs/>
          <w:color w:val="auto"/>
          <w:sz w:val="30"/>
          <w:szCs w:val="30"/>
        </w:rPr>
        <w:instrText xml:space="preserve"> PAGEREF _Toc4714 \h </w:instrText>
      </w:r>
      <w:r>
        <w:rPr>
          <w:b/>
          <w:bCs/>
          <w:color w:val="auto"/>
          <w:sz w:val="30"/>
          <w:szCs w:val="30"/>
        </w:rPr>
        <w:fldChar w:fldCharType="separate"/>
      </w:r>
      <w:r>
        <w:rPr>
          <w:b/>
          <w:bCs/>
          <w:color w:val="auto"/>
          <w:sz w:val="30"/>
          <w:szCs w:val="30"/>
        </w:rPr>
        <w:t>6</w:t>
      </w:r>
      <w:r>
        <w:rPr>
          <w:b/>
          <w:bCs/>
          <w:color w:val="auto"/>
          <w:sz w:val="30"/>
          <w:szCs w:val="30"/>
        </w:rPr>
        <w:fldChar w:fldCharType="end"/>
      </w:r>
      <w:r>
        <w:rPr>
          <w:rFonts w:cs="Times New Roman"/>
          <w:b/>
          <w:bCs/>
          <w:color w:val="auto"/>
          <w:sz w:val="30"/>
          <w:szCs w:val="30"/>
        </w:rPr>
        <w:fldChar w:fldCharType="end"/>
      </w:r>
    </w:p>
    <w:p>
      <w:pPr>
        <w:pStyle w:val="12"/>
        <w:tabs>
          <w:tab w:val="right" w:leader="dot" w:pos="8306"/>
        </w:tabs>
        <w:rPr>
          <w:b/>
          <w:bCs/>
          <w:color w:val="auto"/>
          <w:sz w:val="30"/>
          <w:szCs w:val="30"/>
        </w:rPr>
      </w:pPr>
      <w:r>
        <w:rPr>
          <w:rFonts w:cs="Times New Roman"/>
          <w:b/>
          <w:bCs/>
          <w:color w:val="auto"/>
          <w:sz w:val="30"/>
          <w:szCs w:val="30"/>
        </w:rPr>
        <w:fldChar w:fldCharType="begin"/>
      </w:r>
      <w:r>
        <w:rPr>
          <w:rFonts w:cs="Times New Roman"/>
          <w:b/>
          <w:bCs/>
          <w:color w:val="auto"/>
          <w:sz w:val="30"/>
          <w:szCs w:val="30"/>
        </w:rPr>
        <w:instrText xml:space="preserve"> HYPERLINK \l _Toc23045 </w:instrText>
      </w:r>
      <w:r>
        <w:rPr>
          <w:rFonts w:cs="Times New Roman"/>
          <w:b/>
          <w:bCs/>
          <w:color w:val="auto"/>
          <w:sz w:val="30"/>
          <w:szCs w:val="30"/>
        </w:rPr>
        <w:fldChar w:fldCharType="separate"/>
      </w:r>
      <w:r>
        <w:rPr>
          <w:rFonts w:hint="default" w:ascii="Times New Roman" w:hAnsi="Times New Roman" w:eastAsia="仿宋" w:cs="Times New Roman"/>
          <w:b/>
          <w:bCs/>
          <w:color w:val="auto"/>
          <w:sz w:val="30"/>
          <w:szCs w:val="30"/>
        </w:rPr>
        <w:t xml:space="preserve">1.4 </w:t>
      </w:r>
      <w:r>
        <w:rPr>
          <w:rFonts w:ascii="Times New Roman" w:hAnsi="Times New Roman" w:eastAsia="仿宋" w:cs="Times New Roman"/>
          <w:b/>
          <w:bCs/>
          <w:color w:val="auto"/>
          <w:sz w:val="30"/>
          <w:szCs w:val="30"/>
        </w:rPr>
        <w:t>基本原则</w:t>
      </w:r>
      <w:r>
        <w:rPr>
          <w:b/>
          <w:bCs/>
          <w:color w:val="auto"/>
          <w:sz w:val="30"/>
          <w:szCs w:val="30"/>
        </w:rPr>
        <w:tab/>
      </w:r>
      <w:r>
        <w:rPr>
          <w:b/>
          <w:bCs/>
          <w:color w:val="auto"/>
          <w:sz w:val="30"/>
          <w:szCs w:val="30"/>
        </w:rPr>
        <w:fldChar w:fldCharType="begin"/>
      </w:r>
      <w:r>
        <w:rPr>
          <w:b/>
          <w:bCs/>
          <w:color w:val="auto"/>
          <w:sz w:val="30"/>
          <w:szCs w:val="30"/>
        </w:rPr>
        <w:instrText xml:space="preserve"> PAGEREF _Toc23045 \h </w:instrText>
      </w:r>
      <w:r>
        <w:rPr>
          <w:b/>
          <w:bCs/>
          <w:color w:val="auto"/>
          <w:sz w:val="30"/>
          <w:szCs w:val="30"/>
        </w:rPr>
        <w:fldChar w:fldCharType="separate"/>
      </w:r>
      <w:r>
        <w:rPr>
          <w:b/>
          <w:bCs/>
          <w:color w:val="auto"/>
          <w:sz w:val="30"/>
          <w:szCs w:val="30"/>
        </w:rPr>
        <w:t>6</w:t>
      </w:r>
      <w:r>
        <w:rPr>
          <w:b/>
          <w:bCs/>
          <w:color w:val="auto"/>
          <w:sz w:val="30"/>
          <w:szCs w:val="30"/>
        </w:rPr>
        <w:fldChar w:fldCharType="end"/>
      </w:r>
      <w:r>
        <w:rPr>
          <w:rFonts w:cs="Times New Roman"/>
          <w:b/>
          <w:bCs/>
          <w:color w:val="auto"/>
          <w:sz w:val="30"/>
          <w:szCs w:val="30"/>
        </w:rPr>
        <w:fldChar w:fldCharType="end"/>
      </w:r>
    </w:p>
    <w:p>
      <w:pPr>
        <w:pStyle w:val="12"/>
        <w:tabs>
          <w:tab w:val="right" w:leader="dot" w:pos="8306"/>
        </w:tabs>
        <w:rPr>
          <w:b/>
          <w:bCs/>
          <w:color w:val="auto"/>
          <w:sz w:val="30"/>
          <w:szCs w:val="30"/>
        </w:rPr>
      </w:pPr>
      <w:r>
        <w:rPr>
          <w:rFonts w:cs="Times New Roman"/>
          <w:b/>
          <w:bCs/>
          <w:color w:val="auto"/>
          <w:sz w:val="30"/>
          <w:szCs w:val="30"/>
        </w:rPr>
        <w:fldChar w:fldCharType="begin"/>
      </w:r>
      <w:r>
        <w:rPr>
          <w:rFonts w:cs="Times New Roman"/>
          <w:b/>
          <w:bCs/>
          <w:color w:val="auto"/>
          <w:sz w:val="30"/>
          <w:szCs w:val="30"/>
        </w:rPr>
        <w:instrText xml:space="preserve"> HYPERLINK \l _Toc14461 </w:instrText>
      </w:r>
      <w:r>
        <w:rPr>
          <w:rFonts w:cs="Times New Roman"/>
          <w:b/>
          <w:bCs/>
          <w:color w:val="auto"/>
          <w:sz w:val="30"/>
          <w:szCs w:val="30"/>
        </w:rPr>
        <w:fldChar w:fldCharType="separate"/>
      </w:r>
      <w:r>
        <w:rPr>
          <w:rFonts w:hint="default" w:ascii="Times New Roman" w:hAnsi="Times New Roman" w:eastAsia="仿宋" w:cs="Times New Roman"/>
          <w:b/>
          <w:bCs/>
          <w:color w:val="auto"/>
          <w:sz w:val="30"/>
          <w:szCs w:val="30"/>
        </w:rPr>
        <w:t xml:space="preserve">1.5 </w:t>
      </w:r>
      <w:r>
        <w:rPr>
          <w:rFonts w:ascii="Times New Roman" w:hAnsi="Times New Roman" w:eastAsia="仿宋" w:cs="Times New Roman"/>
          <w:b/>
          <w:bCs/>
          <w:color w:val="auto"/>
          <w:sz w:val="30"/>
          <w:szCs w:val="30"/>
        </w:rPr>
        <w:t>规划范围和规划期限</w:t>
      </w:r>
      <w:r>
        <w:rPr>
          <w:b/>
          <w:bCs/>
          <w:color w:val="auto"/>
          <w:sz w:val="30"/>
          <w:szCs w:val="30"/>
        </w:rPr>
        <w:tab/>
      </w:r>
      <w:r>
        <w:rPr>
          <w:b/>
          <w:bCs/>
          <w:color w:val="auto"/>
          <w:sz w:val="30"/>
          <w:szCs w:val="30"/>
        </w:rPr>
        <w:fldChar w:fldCharType="begin"/>
      </w:r>
      <w:r>
        <w:rPr>
          <w:b/>
          <w:bCs/>
          <w:color w:val="auto"/>
          <w:sz w:val="30"/>
          <w:szCs w:val="30"/>
        </w:rPr>
        <w:instrText xml:space="preserve"> PAGEREF _Toc14461 \h </w:instrText>
      </w:r>
      <w:r>
        <w:rPr>
          <w:b/>
          <w:bCs/>
          <w:color w:val="auto"/>
          <w:sz w:val="30"/>
          <w:szCs w:val="30"/>
        </w:rPr>
        <w:fldChar w:fldCharType="separate"/>
      </w:r>
      <w:r>
        <w:rPr>
          <w:b/>
          <w:bCs/>
          <w:color w:val="auto"/>
          <w:sz w:val="30"/>
          <w:szCs w:val="30"/>
        </w:rPr>
        <w:t>8</w:t>
      </w:r>
      <w:r>
        <w:rPr>
          <w:b/>
          <w:bCs/>
          <w:color w:val="auto"/>
          <w:sz w:val="30"/>
          <w:szCs w:val="30"/>
        </w:rPr>
        <w:fldChar w:fldCharType="end"/>
      </w:r>
      <w:r>
        <w:rPr>
          <w:rFonts w:cs="Times New Roman"/>
          <w:b/>
          <w:bCs/>
          <w:color w:val="auto"/>
          <w:sz w:val="30"/>
          <w:szCs w:val="30"/>
        </w:rPr>
        <w:fldChar w:fldCharType="end"/>
      </w:r>
    </w:p>
    <w:p>
      <w:pPr>
        <w:pStyle w:val="12"/>
        <w:tabs>
          <w:tab w:val="right" w:leader="dot" w:pos="8306"/>
        </w:tabs>
        <w:rPr>
          <w:b/>
          <w:bCs/>
          <w:color w:val="auto"/>
          <w:sz w:val="30"/>
          <w:szCs w:val="30"/>
        </w:rPr>
      </w:pPr>
      <w:r>
        <w:rPr>
          <w:rFonts w:cs="Times New Roman"/>
          <w:b/>
          <w:bCs/>
          <w:color w:val="auto"/>
          <w:sz w:val="30"/>
          <w:szCs w:val="30"/>
        </w:rPr>
        <w:fldChar w:fldCharType="begin"/>
      </w:r>
      <w:r>
        <w:rPr>
          <w:rFonts w:cs="Times New Roman"/>
          <w:b/>
          <w:bCs/>
          <w:color w:val="auto"/>
          <w:sz w:val="30"/>
          <w:szCs w:val="30"/>
        </w:rPr>
        <w:instrText xml:space="preserve"> HYPERLINK \l _Toc14886 </w:instrText>
      </w:r>
      <w:r>
        <w:rPr>
          <w:rFonts w:cs="Times New Roman"/>
          <w:b/>
          <w:bCs/>
          <w:color w:val="auto"/>
          <w:sz w:val="30"/>
          <w:szCs w:val="30"/>
        </w:rPr>
        <w:fldChar w:fldCharType="separate"/>
      </w:r>
      <w:r>
        <w:rPr>
          <w:rFonts w:hint="default" w:ascii="Times New Roman" w:hAnsi="Times New Roman" w:eastAsia="仿宋" w:cs="Times New Roman"/>
          <w:b/>
          <w:bCs/>
          <w:color w:val="auto"/>
          <w:sz w:val="30"/>
          <w:szCs w:val="30"/>
        </w:rPr>
        <w:t xml:space="preserve">1.6 </w:t>
      </w:r>
      <w:r>
        <w:rPr>
          <w:rFonts w:ascii="Times New Roman" w:hAnsi="Times New Roman" w:eastAsia="仿宋" w:cs="Times New Roman"/>
          <w:b/>
          <w:bCs/>
          <w:color w:val="auto"/>
          <w:sz w:val="30"/>
          <w:szCs w:val="30"/>
        </w:rPr>
        <w:t>规划技术路线</w:t>
      </w:r>
      <w:r>
        <w:rPr>
          <w:b/>
          <w:bCs/>
          <w:color w:val="auto"/>
          <w:sz w:val="30"/>
          <w:szCs w:val="30"/>
        </w:rPr>
        <w:tab/>
      </w:r>
      <w:r>
        <w:rPr>
          <w:b/>
          <w:bCs/>
          <w:color w:val="auto"/>
          <w:sz w:val="30"/>
          <w:szCs w:val="30"/>
        </w:rPr>
        <w:fldChar w:fldCharType="begin"/>
      </w:r>
      <w:r>
        <w:rPr>
          <w:b/>
          <w:bCs/>
          <w:color w:val="auto"/>
          <w:sz w:val="30"/>
          <w:szCs w:val="30"/>
        </w:rPr>
        <w:instrText xml:space="preserve"> PAGEREF _Toc14886 \h </w:instrText>
      </w:r>
      <w:r>
        <w:rPr>
          <w:b/>
          <w:bCs/>
          <w:color w:val="auto"/>
          <w:sz w:val="30"/>
          <w:szCs w:val="30"/>
        </w:rPr>
        <w:fldChar w:fldCharType="separate"/>
      </w:r>
      <w:r>
        <w:rPr>
          <w:b/>
          <w:bCs/>
          <w:color w:val="auto"/>
          <w:sz w:val="30"/>
          <w:szCs w:val="30"/>
        </w:rPr>
        <w:t>9</w:t>
      </w:r>
      <w:r>
        <w:rPr>
          <w:b/>
          <w:bCs/>
          <w:color w:val="auto"/>
          <w:sz w:val="30"/>
          <w:szCs w:val="30"/>
        </w:rPr>
        <w:fldChar w:fldCharType="end"/>
      </w:r>
      <w:r>
        <w:rPr>
          <w:rFonts w:cs="Times New Roman"/>
          <w:b/>
          <w:bCs/>
          <w:color w:val="auto"/>
          <w:sz w:val="30"/>
          <w:szCs w:val="30"/>
        </w:rPr>
        <w:fldChar w:fldCharType="end"/>
      </w:r>
    </w:p>
    <w:p>
      <w:pPr>
        <w:pStyle w:val="10"/>
        <w:tabs>
          <w:tab w:val="right" w:leader="dot" w:pos="8306"/>
        </w:tabs>
        <w:rPr>
          <w:b/>
          <w:bCs/>
          <w:color w:val="auto"/>
          <w:sz w:val="30"/>
          <w:szCs w:val="30"/>
        </w:rPr>
      </w:pPr>
      <w:r>
        <w:rPr>
          <w:rFonts w:cs="Times New Roman"/>
          <w:b/>
          <w:bCs/>
          <w:color w:val="auto"/>
          <w:sz w:val="30"/>
          <w:szCs w:val="30"/>
        </w:rPr>
        <w:fldChar w:fldCharType="begin"/>
      </w:r>
      <w:r>
        <w:rPr>
          <w:rFonts w:cs="Times New Roman"/>
          <w:b/>
          <w:bCs/>
          <w:color w:val="auto"/>
          <w:sz w:val="30"/>
          <w:szCs w:val="30"/>
        </w:rPr>
        <w:instrText xml:space="preserve"> HYPERLINK \l _Toc26411 </w:instrText>
      </w:r>
      <w:r>
        <w:rPr>
          <w:rFonts w:cs="Times New Roman"/>
          <w:b/>
          <w:bCs/>
          <w:color w:val="auto"/>
          <w:sz w:val="30"/>
          <w:szCs w:val="30"/>
        </w:rPr>
        <w:fldChar w:fldCharType="separate"/>
      </w:r>
      <w:r>
        <w:rPr>
          <w:rFonts w:hint="default" w:ascii="Times New Roman" w:hAnsi="Times New Roman" w:eastAsia="仿宋"/>
          <w:b/>
          <w:bCs/>
          <w:color w:val="auto"/>
          <w:sz w:val="30"/>
          <w:szCs w:val="30"/>
        </w:rPr>
        <w:t>2 环境现状</w:t>
      </w:r>
      <w:r>
        <w:rPr>
          <w:b/>
          <w:bCs/>
          <w:color w:val="auto"/>
          <w:sz w:val="30"/>
          <w:szCs w:val="30"/>
        </w:rPr>
        <w:tab/>
      </w:r>
      <w:r>
        <w:rPr>
          <w:b/>
          <w:bCs/>
          <w:color w:val="auto"/>
          <w:sz w:val="30"/>
          <w:szCs w:val="30"/>
        </w:rPr>
        <w:fldChar w:fldCharType="begin"/>
      </w:r>
      <w:r>
        <w:rPr>
          <w:b/>
          <w:bCs/>
          <w:color w:val="auto"/>
          <w:sz w:val="30"/>
          <w:szCs w:val="30"/>
        </w:rPr>
        <w:instrText xml:space="preserve"> PAGEREF _Toc26411 \h </w:instrText>
      </w:r>
      <w:r>
        <w:rPr>
          <w:b/>
          <w:bCs/>
          <w:color w:val="auto"/>
          <w:sz w:val="30"/>
          <w:szCs w:val="30"/>
        </w:rPr>
        <w:fldChar w:fldCharType="separate"/>
      </w:r>
      <w:r>
        <w:rPr>
          <w:b/>
          <w:bCs/>
          <w:color w:val="auto"/>
          <w:sz w:val="30"/>
          <w:szCs w:val="30"/>
        </w:rPr>
        <w:t>10</w:t>
      </w:r>
      <w:r>
        <w:rPr>
          <w:b/>
          <w:bCs/>
          <w:color w:val="auto"/>
          <w:sz w:val="30"/>
          <w:szCs w:val="30"/>
        </w:rPr>
        <w:fldChar w:fldCharType="end"/>
      </w:r>
      <w:r>
        <w:rPr>
          <w:rFonts w:cs="Times New Roman"/>
          <w:b/>
          <w:bCs/>
          <w:color w:val="auto"/>
          <w:sz w:val="30"/>
          <w:szCs w:val="30"/>
        </w:rPr>
        <w:fldChar w:fldCharType="end"/>
      </w:r>
    </w:p>
    <w:p>
      <w:pPr>
        <w:pStyle w:val="12"/>
        <w:tabs>
          <w:tab w:val="right" w:leader="dot" w:pos="8306"/>
        </w:tabs>
        <w:rPr>
          <w:b/>
          <w:bCs/>
          <w:color w:val="auto"/>
          <w:sz w:val="30"/>
          <w:szCs w:val="30"/>
        </w:rPr>
      </w:pPr>
      <w:r>
        <w:rPr>
          <w:rFonts w:cs="Times New Roman"/>
          <w:b/>
          <w:bCs/>
          <w:color w:val="auto"/>
          <w:sz w:val="30"/>
          <w:szCs w:val="30"/>
        </w:rPr>
        <w:fldChar w:fldCharType="begin"/>
      </w:r>
      <w:r>
        <w:rPr>
          <w:rFonts w:cs="Times New Roman"/>
          <w:b/>
          <w:bCs/>
          <w:color w:val="auto"/>
          <w:sz w:val="30"/>
          <w:szCs w:val="30"/>
        </w:rPr>
        <w:instrText xml:space="preserve"> HYPERLINK \l _Toc28304 </w:instrText>
      </w:r>
      <w:r>
        <w:rPr>
          <w:rFonts w:cs="Times New Roman"/>
          <w:b/>
          <w:bCs/>
          <w:color w:val="auto"/>
          <w:sz w:val="30"/>
          <w:szCs w:val="30"/>
        </w:rPr>
        <w:fldChar w:fldCharType="separate"/>
      </w:r>
      <w:r>
        <w:rPr>
          <w:rFonts w:ascii="Times New Roman" w:hAnsi="Times New Roman" w:eastAsia="仿宋" w:cs="Times New Roman"/>
          <w:b/>
          <w:bCs/>
          <w:color w:val="auto"/>
          <w:sz w:val="30"/>
          <w:szCs w:val="30"/>
        </w:rPr>
        <w:t>2.1自然资源状况</w:t>
      </w:r>
      <w:r>
        <w:rPr>
          <w:b/>
          <w:bCs/>
          <w:color w:val="auto"/>
          <w:sz w:val="30"/>
          <w:szCs w:val="30"/>
        </w:rPr>
        <w:tab/>
      </w:r>
      <w:r>
        <w:rPr>
          <w:b/>
          <w:bCs/>
          <w:color w:val="auto"/>
          <w:sz w:val="30"/>
          <w:szCs w:val="30"/>
        </w:rPr>
        <w:fldChar w:fldCharType="begin"/>
      </w:r>
      <w:r>
        <w:rPr>
          <w:b/>
          <w:bCs/>
          <w:color w:val="auto"/>
          <w:sz w:val="30"/>
          <w:szCs w:val="30"/>
        </w:rPr>
        <w:instrText xml:space="preserve"> PAGEREF _Toc28304 \h </w:instrText>
      </w:r>
      <w:r>
        <w:rPr>
          <w:b/>
          <w:bCs/>
          <w:color w:val="auto"/>
          <w:sz w:val="30"/>
          <w:szCs w:val="30"/>
        </w:rPr>
        <w:fldChar w:fldCharType="separate"/>
      </w:r>
      <w:r>
        <w:rPr>
          <w:b/>
          <w:bCs/>
          <w:color w:val="auto"/>
          <w:sz w:val="30"/>
          <w:szCs w:val="30"/>
        </w:rPr>
        <w:t>10</w:t>
      </w:r>
      <w:r>
        <w:rPr>
          <w:b/>
          <w:bCs/>
          <w:color w:val="auto"/>
          <w:sz w:val="30"/>
          <w:szCs w:val="30"/>
        </w:rPr>
        <w:fldChar w:fldCharType="end"/>
      </w:r>
      <w:r>
        <w:rPr>
          <w:rFonts w:cs="Times New Roman"/>
          <w:b/>
          <w:bCs/>
          <w:color w:val="auto"/>
          <w:sz w:val="30"/>
          <w:szCs w:val="30"/>
        </w:rPr>
        <w:fldChar w:fldCharType="end"/>
      </w:r>
    </w:p>
    <w:p>
      <w:pPr>
        <w:pStyle w:val="12"/>
        <w:tabs>
          <w:tab w:val="right" w:leader="dot" w:pos="8306"/>
        </w:tabs>
        <w:rPr>
          <w:b/>
          <w:bCs/>
          <w:color w:val="auto"/>
          <w:sz w:val="30"/>
          <w:szCs w:val="30"/>
        </w:rPr>
      </w:pPr>
      <w:r>
        <w:rPr>
          <w:rFonts w:cs="Times New Roman"/>
          <w:b/>
          <w:bCs/>
          <w:color w:val="auto"/>
          <w:sz w:val="30"/>
          <w:szCs w:val="30"/>
        </w:rPr>
        <w:fldChar w:fldCharType="begin"/>
      </w:r>
      <w:r>
        <w:rPr>
          <w:rFonts w:cs="Times New Roman"/>
          <w:b/>
          <w:bCs/>
          <w:color w:val="auto"/>
          <w:sz w:val="30"/>
          <w:szCs w:val="30"/>
        </w:rPr>
        <w:instrText xml:space="preserve"> HYPERLINK \l _Toc32691 </w:instrText>
      </w:r>
      <w:r>
        <w:rPr>
          <w:rFonts w:cs="Times New Roman"/>
          <w:b/>
          <w:bCs/>
          <w:color w:val="auto"/>
          <w:sz w:val="30"/>
          <w:szCs w:val="30"/>
        </w:rPr>
        <w:fldChar w:fldCharType="separate"/>
      </w:r>
      <w:r>
        <w:rPr>
          <w:rFonts w:ascii="Times New Roman" w:hAnsi="Times New Roman" w:eastAsia="仿宋" w:cs="Times New Roman"/>
          <w:b/>
          <w:bCs/>
          <w:color w:val="auto"/>
          <w:sz w:val="30"/>
          <w:szCs w:val="30"/>
        </w:rPr>
        <w:t>2.2社会经济状况</w:t>
      </w:r>
      <w:r>
        <w:rPr>
          <w:b/>
          <w:bCs/>
          <w:color w:val="auto"/>
          <w:sz w:val="30"/>
          <w:szCs w:val="30"/>
        </w:rPr>
        <w:tab/>
      </w:r>
      <w:r>
        <w:rPr>
          <w:b/>
          <w:bCs/>
          <w:color w:val="auto"/>
          <w:sz w:val="30"/>
          <w:szCs w:val="30"/>
        </w:rPr>
        <w:fldChar w:fldCharType="begin"/>
      </w:r>
      <w:r>
        <w:rPr>
          <w:b/>
          <w:bCs/>
          <w:color w:val="auto"/>
          <w:sz w:val="30"/>
          <w:szCs w:val="30"/>
        </w:rPr>
        <w:instrText xml:space="preserve"> PAGEREF _Toc32691 \h </w:instrText>
      </w:r>
      <w:r>
        <w:rPr>
          <w:b/>
          <w:bCs/>
          <w:color w:val="auto"/>
          <w:sz w:val="30"/>
          <w:szCs w:val="30"/>
        </w:rPr>
        <w:fldChar w:fldCharType="separate"/>
      </w:r>
      <w:r>
        <w:rPr>
          <w:b/>
          <w:bCs/>
          <w:color w:val="auto"/>
          <w:sz w:val="30"/>
          <w:szCs w:val="30"/>
        </w:rPr>
        <w:t>18</w:t>
      </w:r>
      <w:r>
        <w:rPr>
          <w:b/>
          <w:bCs/>
          <w:color w:val="auto"/>
          <w:sz w:val="30"/>
          <w:szCs w:val="30"/>
        </w:rPr>
        <w:fldChar w:fldCharType="end"/>
      </w:r>
      <w:r>
        <w:rPr>
          <w:rFonts w:cs="Times New Roman"/>
          <w:b/>
          <w:bCs/>
          <w:color w:val="auto"/>
          <w:sz w:val="30"/>
          <w:szCs w:val="30"/>
        </w:rPr>
        <w:fldChar w:fldCharType="end"/>
      </w:r>
    </w:p>
    <w:p>
      <w:pPr>
        <w:pStyle w:val="12"/>
        <w:tabs>
          <w:tab w:val="right" w:leader="dot" w:pos="8306"/>
        </w:tabs>
        <w:rPr>
          <w:b/>
          <w:bCs/>
          <w:color w:val="auto"/>
          <w:sz w:val="30"/>
          <w:szCs w:val="30"/>
        </w:rPr>
      </w:pPr>
      <w:r>
        <w:rPr>
          <w:rFonts w:cs="Times New Roman"/>
          <w:b/>
          <w:bCs/>
          <w:color w:val="auto"/>
          <w:sz w:val="30"/>
          <w:szCs w:val="30"/>
        </w:rPr>
        <w:fldChar w:fldCharType="begin"/>
      </w:r>
      <w:r>
        <w:rPr>
          <w:rFonts w:cs="Times New Roman"/>
          <w:b/>
          <w:bCs/>
          <w:color w:val="auto"/>
          <w:sz w:val="30"/>
          <w:szCs w:val="30"/>
        </w:rPr>
        <w:instrText xml:space="preserve"> HYPERLINK \l _Toc7751 </w:instrText>
      </w:r>
      <w:r>
        <w:rPr>
          <w:rFonts w:cs="Times New Roman"/>
          <w:b/>
          <w:bCs/>
          <w:color w:val="auto"/>
          <w:sz w:val="30"/>
          <w:szCs w:val="30"/>
        </w:rPr>
        <w:fldChar w:fldCharType="separate"/>
      </w:r>
      <w:r>
        <w:rPr>
          <w:rFonts w:ascii="Times New Roman" w:hAnsi="Times New Roman" w:eastAsia="仿宋" w:cs="Times New Roman"/>
          <w:b/>
          <w:bCs/>
          <w:color w:val="auto"/>
          <w:sz w:val="30"/>
          <w:szCs w:val="30"/>
        </w:rPr>
        <w:t>2.3生态环境现状</w:t>
      </w:r>
      <w:r>
        <w:rPr>
          <w:b/>
          <w:bCs/>
          <w:color w:val="auto"/>
          <w:sz w:val="30"/>
          <w:szCs w:val="30"/>
        </w:rPr>
        <w:tab/>
      </w:r>
      <w:r>
        <w:rPr>
          <w:b/>
          <w:bCs/>
          <w:color w:val="auto"/>
          <w:sz w:val="30"/>
          <w:szCs w:val="30"/>
        </w:rPr>
        <w:fldChar w:fldCharType="begin"/>
      </w:r>
      <w:r>
        <w:rPr>
          <w:b/>
          <w:bCs/>
          <w:color w:val="auto"/>
          <w:sz w:val="30"/>
          <w:szCs w:val="30"/>
        </w:rPr>
        <w:instrText xml:space="preserve"> PAGEREF _Toc7751 \h </w:instrText>
      </w:r>
      <w:r>
        <w:rPr>
          <w:b/>
          <w:bCs/>
          <w:color w:val="auto"/>
          <w:sz w:val="30"/>
          <w:szCs w:val="30"/>
        </w:rPr>
        <w:fldChar w:fldCharType="separate"/>
      </w:r>
      <w:r>
        <w:rPr>
          <w:b/>
          <w:bCs/>
          <w:color w:val="auto"/>
          <w:sz w:val="30"/>
          <w:szCs w:val="30"/>
        </w:rPr>
        <w:t>21</w:t>
      </w:r>
      <w:r>
        <w:rPr>
          <w:b/>
          <w:bCs/>
          <w:color w:val="auto"/>
          <w:sz w:val="30"/>
          <w:szCs w:val="30"/>
        </w:rPr>
        <w:fldChar w:fldCharType="end"/>
      </w:r>
      <w:r>
        <w:rPr>
          <w:rFonts w:cs="Times New Roman"/>
          <w:b/>
          <w:bCs/>
          <w:color w:val="auto"/>
          <w:sz w:val="30"/>
          <w:szCs w:val="30"/>
        </w:rPr>
        <w:fldChar w:fldCharType="end"/>
      </w:r>
    </w:p>
    <w:p>
      <w:pPr>
        <w:pStyle w:val="10"/>
        <w:tabs>
          <w:tab w:val="right" w:leader="dot" w:pos="8306"/>
        </w:tabs>
        <w:rPr>
          <w:b/>
          <w:bCs/>
          <w:color w:val="auto"/>
          <w:sz w:val="30"/>
          <w:szCs w:val="30"/>
        </w:rPr>
      </w:pPr>
      <w:r>
        <w:rPr>
          <w:rFonts w:cs="Times New Roman"/>
          <w:b/>
          <w:bCs/>
          <w:color w:val="auto"/>
          <w:sz w:val="30"/>
          <w:szCs w:val="30"/>
        </w:rPr>
        <w:fldChar w:fldCharType="begin"/>
      </w:r>
      <w:r>
        <w:rPr>
          <w:rFonts w:cs="Times New Roman"/>
          <w:b/>
          <w:bCs/>
          <w:color w:val="auto"/>
          <w:sz w:val="30"/>
          <w:szCs w:val="30"/>
        </w:rPr>
        <w:instrText xml:space="preserve"> HYPERLINK \l _Toc13510 </w:instrText>
      </w:r>
      <w:r>
        <w:rPr>
          <w:rFonts w:cs="Times New Roman"/>
          <w:b/>
          <w:bCs/>
          <w:color w:val="auto"/>
          <w:sz w:val="30"/>
          <w:szCs w:val="30"/>
        </w:rPr>
        <w:fldChar w:fldCharType="separate"/>
      </w:r>
      <w:r>
        <w:rPr>
          <w:rFonts w:ascii="Times New Roman" w:hAnsi="Times New Roman" w:eastAsia="仿宋"/>
          <w:b/>
          <w:bCs/>
          <w:color w:val="auto"/>
          <w:sz w:val="30"/>
          <w:szCs w:val="30"/>
        </w:rPr>
        <w:t>3</w:t>
      </w:r>
      <w:r>
        <w:rPr>
          <w:rFonts w:hint="default" w:ascii="Times New Roman" w:hAnsi="Times New Roman" w:eastAsia="仿宋"/>
          <w:b/>
          <w:bCs/>
          <w:color w:val="auto"/>
          <w:sz w:val="30"/>
          <w:szCs w:val="30"/>
        </w:rPr>
        <w:t xml:space="preserve"> 规划目标</w:t>
      </w:r>
      <w:r>
        <w:rPr>
          <w:b/>
          <w:bCs/>
          <w:color w:val="auto"/>
          <w:sz w:val="30"/>
          <w:szCs w:val="30"/>
        </w:rPr>
        <w:tab/>
      </w:r>
      <w:r>
        <w:rPr>
          <w:b/>
          <w:bCs/>
          <w:color w:val="auto"/>
          <w:sz w:val="30"/>
          <w:szCs w:val="30"/>
        </w:rPr>
        <w:fldChar w:fldCharType="begin"/>
      </w:r>
      <w:r>
        <w:rPr>
          <w:b/>
          <w:bCs/>
          <w:color w:val="auto"/>
          <w:sz w:val="30"/>
          <w:szCs w:val="30"/>
        </w:rPr>
        <w:instrText xml:space="preserve"> PAGEREF _Toc13510 \h </w:instrText>
      </w:r>
      <w:r>
        <w:rPr>
          <w:b/>
          <w:bCs/>
          <w:color w:val="auto"/>
          <w:sz w:val="30"/>
          <w:szCs w:val="30"/>
        </w:rPr>
        <w:fldChar w:fldCharType="separate"/>
      </w:r>
      <w:r>
        <w:rPr>
          <w:b/>
          <w:bCs/>
          <w:color w:val="auto"/>
          <w:sz w:val="30"/>
          <w:szCs w:val="30"/>
        </w:rPr>
        <w:t>51</w:t>
      </w:r>
      <w:r>
        <w:rPr>
          <w:b/>
          <w:bCs/>
          <w:color w:val="auto"/>
          <w:sz w:val="30"/>
          <w:szCs w:val="30"/>
        </w:rPr>
        <w:fldChar w:fldCharType="end"/>
      </w:r>
      <w:r>
        <w:rPr>
          <w:rFonts w:cs="Times New Roman"/>
          <w:b/>
          <w:bCs/>
          <w:color w:val="auto"/>
          <w:sz w:val="30"/>
          <w:szCs w:val="30"/>
        </w:rPr>
        <w:fldChar w:fldCharType="end"/>
      </w:r>
    </w:p>
    <w:p>
      <w:pPr>
        <w:pStyle w:val="12"/>
        <w:tabs>
          <w:tab w:val="right" w:leader="dot" w:pos="8306"/>
        </w:tabs>
        <w:rPr>
          <w:b/>
          <w:bCs/>
          <w:color w:val="auto"/>
          <w:sz w:val="30"/>
          <w:szCs w:val="30"/>
        </w:rPr>
      </w:pPr>
      <w:r>
        <w:rPr>
          <w:rFonts w:cs="Times New Roman"/>
          <w:b/>
          <w:bCs/>
          <w:color w:val="auto"/>
          <w:sz w:val="30"/>
          <w:szCs w:val="30"/>
        </w:rPr>
        <w:fldChar w:fldCharType="begin"/>
      </w:r>
      <w:r>
        <w:rPr>
          <w:rFonts w:cs="Times New Roman"/>
          <w:b/>
          <w:bCs/>
          <w:color w:val="auto"/>
          <w:sz w:val="30"/>
          <w:szCs w:val="30"/>
        </w:rPr>
        <w:instrText xml:space="preserve"> HYPERLINK \l _Toc8709 </w:instrText>
      </w:r>
      <w:r>
        <w:rPr>
          <w:rFonts w:cs="Times New Roman"/>
          <w:b/>
          <w:bCs/>
          <w:color w:val="auto"/>
          <w:sz w:val="30"/>
          <w:szCs w:val="30"/>
        </w:rPr>
        <w:fldChar w:fldCharType="separate"/>
      </w:r>
      <w:r>
        <w:rPr>
          <w:rFonts w:hint="eastAsia" w:ascii="Times New Roman" w:hAnsi="Times New Roman" w:eastAsia="仿宋" w:cs="Times New Roman"/>
          <w:b/>
          <w:bCs/>
          <w:color w:val="auto"/>
          <w:sz w:val="30"/>
          <w:szCs w:val="30"/>
        </w:rPr>
        <w:t>3.1 规划目标</w:t>
      </w:r>
      <w:r>
        <w:rPr>
          <w:b/>
          <w:bCs/>
          <w:color w:val="auto"/>
          <w:sz w:val="30"/>
          <w:szCs w:val="30"/>
        </w:rPr>
        <w:tab/>
      </w:r>
      <w:r>
        <w:rPr>
          <w:b/>
          <w:bCs/>
          <w:color w:val="auto"/>
          <w:sz w:val="30"/>
          <w:szCs w:val="30"/>
        </w:rPr>
        <w:fldChar w:fldCharType="begin"/>
      </w:r>
      <w:r>
        <w:rPr>
          <w:b/>
          <w:bCs/>
          <w:color w:val="auto"/>
          <w:sz w:val="30"/>
          <w:szCs w:val="30"/>
        </w:rPr>
        <w:instrText xml:space="preserve"> PAGEREF _Toc8709 \h </w:instrText>
      </w:r>
      <w:r>
        <w:rPr>
          <w:b/>
          <w:bCs/>
          <w:color w:val="auto"/>
          <w:sz w:val="30"/>
          <w:szCs w:val="30"/>
        </w:rPr>
        <w:fldChar w:fldCharType="separate"/>
      </w:r>
      <w:r>
        <w:rPr>
          <w:b/>
          <w:bCs/>
          <w:color w:val="auto"/>
          <w:sz w:val="30"/>
          <w:szCs w:val="30"/>
        </w:rPr>
        <w:t>51</w:t>
      </w:r>
      <w:r>
        <w:rPr>
          <w:b/>
          <w:bCs/>
          <w:color w:val="auto"/>
          <w:sz w:val="30"/>
          <w:szCs w:val="30"/>
        </w:rPr>
        <w:fldChar w:fldCharType="end"/>
      </w:r>
      <w:r>
        <w:rPr>
          <w:rFonts w:cs="Times New Roman"/>
          <w:b/>
          <w:bCs/>
          <w:color w:val="auto"/>
          <w:sz w:val="30"/>
          <w:szCs w:val="30"/>
        </w:rPr>
        <w:fldChar w:fldCharType="end"/>
      </w:r>
    </w:p>
    <w:p>
      <w:pPr>
        <w:pStyle w:val="12"/>
        <w:tabs>
          <w:tab w:val="right" w:leader="dot" w:pos="8306"/>
        </w:tabs>
        <w:rPr>
          <w:b/>
          <w:bCs/>
          <w:color w:val="auto"/>
          <w:sz w:val="30"/>
          <w:szCs w:val="30"/>
        </w:rPr>
      </w:pPr>
      <w:r>
        <w:rPr>
          <w:rFonts w:cs="Times New Roman"/>
          <w:b/>
          <w:bCs/>
          <w:color w:val="auto"/>
          <w:sz w:val="30"/>
          <w:szCs w:val="30"/>
        </w:rPr>
        <w:fldChar w:fldCharType="begin"/>
      </w:r>
      <w:r>
        <w:rPr>
          <w:rFonts w:cs="Times New Roman"/>
          <w:b/>
          <w:bCs/>
          <w:color w:val="auto"/>
          <w:sz w:val="30"/>
          <w:szCs w:val="30"/>
        </w:rPr>
        <w:instrText xml:space="preserve"> HYPERLINK \l _Toc29117 </w:instrText>
      </w:r>
      <w:r>
        <w:rPr>
          <w:rFonts w:cs="Times New Roman"/>
          <w:b/>
          <w:bCs/>
          <w:color w:val="auto"/>
          <w:sz w:val="30"/>
          <w:szCs w:val="30"/>
        </w:rPr>
        <w:fldChar w:fldCharType="separate"/>
      </w:r>
      <w:r>
        <w:rPr>
          <w:rFonts w:hint="eastAsia" w:ascii="Times New Roman" w:hAnsi="Times New Roman" w:eastAsia="仿宋" w:cs="Times New Roman"/>
          <w:b/>
          <w:bCs/>
          <w:color w:val="auto"/>
          <w:sz w:val="30"/>
          <w:szCs w:val="30"/>
        </w:rPr>
        <w:t>3.2 目标可实现性</w:t>
      </w:r>
      <w:r>
        <w:rPr>
          <w:b/>
          <w:bCs/>
          <w:color w:val="auto"/>
          <w:sz w:val="30"/>
          <w:szCs w:val="30"/>
        </w:rPr>
        <w:tab/>
      </w:r>
      <w:r>
        <w:rPr>
          <w:b/>
          <w:bCs/>
          <w:color w:val="auto"/>
          <w:sz w:val="30"/>
          <w:szCs w:val="30"/>
        </w:rPr>
        <w:fldChar w:fldCharType="begin"/>
      </w:r>
      <w:r>
        <w:rPr>
          <w:b/>
          <w:bCs/>
          <w:color w:val="auto"/>
          <w:sz w:val="30"/>
          <w:szCs w:val="30"/>
        </w:rPr>
        <w:instrText xml:space="preserve"> PAGEREF _Toc29117 \h </w:instrText>
      </w:r>
      <w:r>
        <w:rPr>
          <w:b/>
          <w:bCs/>
          <w:color w:val="auto"/>
          <w:sz w:val="30"/>
          <w:szCs w:val="30"/>
        </w:rPr>
        <w:fldChar w:fldCharType="separate"/>
      </w:r>
      <w:r>
        <w:rPr>
          <w:b/>
          <w:bCs/>
          <w:color w:val="auto"/>
          <w:sz w:val="30"/>
          <w:szCs w:val="30"/>
        </w:rPr>
        <w:t>52</w:t>
      </w:r>
      <w:r>
        <w:rPr>
          <w:b/>
          <w:bCs/>
          <w:color w:val="auto"/>
          <w:sz w:val="30"/>
          <w:szCs w:val="30"/>
        </w:rPr>
        <w:fldChar w:fldCharType="end"/>
      </w:r>
      <w:r>
        <w:rPr>
          <w:rFonts w:cs="Times New Roman"/>
          <w:b/>
          <w:bCs/>
          <w:color w:val="auto"/>
          <w:sz w:val="30"/>
          <w:szCs w:val="30"/>
        </w:rPr>
        <w:fldChar w:fldCharType="end"/>
      </w:r>
    </w:p>
    <w:p>
      <w:pPr>
        <w:pStyle w:val="10"/>
        <w:tabs>
          <w:tab w:val="right" w:leader="dot" w:pos="8306"/>
        </w:tabs>
        <w:rPr>
          <w:b/>
          <w:bCs/>
          <w:color w:val="auto"/>
          <w:sz w:val="30"/>
          <w:szCs w:val="30"/>
        </w:rPr>
      </w:pPr>
      <w:r>
        <w:rPr>
          <w:rFonts w:cs="Times New Roman"/>
          <w:b/>
          <w:bCs/>
          <w:color w:val="auto"/>
          <w:sz w:val="30"/>
          <w:szCs w:val="30"/>
        </w:rPr>
        <w:fldChar w:fldCharType="begin"/>
      </w:r>
      <w:r>
        <w:rPr>
          <w:rFonts w:cs="Times New Roman"/>
          <w:b/>
          <w:bCs/>
          <w:color w:val="auto"/>
          <w:sz w:val="30"/>
          <w:szCs w:val="30"/>
        </w:rPr>
        <w:instrText xml:space="preserve"> HYPERLINK \l _Toc32555 </w:instrText>
      </w:r>
      <w:r>
        <w:rPr>
          <w:rFonts w:cs="Times New Roman"/>
          <w:b/>
          <w:bCs/>
          <w:color w:val="auto"/>
          <w:sz w:val="30"/>
          <w:szCs w:val="30"/>
        </w:rPr>
        <w:fldChar w:fldCharType="separate"/>
      </w:r>
      <w:r>
        <w:rPr>
          <w:rFonts w:ascii="Times New Roman" w:hAnsi="Times New Roman" w:eastAsia="仿宋"/>
          <w:b/>
          <w:bCs/>
          <w:color w:val="auto"/>
          <w:sz w:val="30"/>
          <w:szCs w:val="30"/>
        </w:rPr>
        <w:t>4</w:t>
      </w:r>
      <w:r>
        <w:rPr>
          <w:rFonts w:hint="default" w:ascii="Times New Roman" w:hAnsi="Times New Roman" w:eastAsia="仿宋"/>
          <w:b/>
          <w:bCs/>
          <w:color w:val="auto"/>
          <w:sz w:val="30"/>
          <w:szCs w:val="30"/>
        </w:rPr>
        <w:t xml:space="preserve"> 工作成效和面临形势</w:t>
      </w:r>
      <w:r>
        <w:rPr>
          <w:b/>
          <w:bCs/>
          <w:color w:val="auto"/>
          <w:sz w:val="30"/>
          <w:szCs w:val="30"/>
        </w:rPr>
        <w:tab/>
      </w:r>
      <w:r>
        <w:rPr>
          <w:b/>
          <w:bCs/>
          <w:color w:val="auto"/>
          <w:sz w:val="30"/>
          <w:szCs w:val="30"/>
        </w:rPr>
        <w:fldChar w:fldCharType="begin"/>
      </w:r>
      <w:r>
        <w:rPr>
          <w:b/>
          <w:bCs/>
          <w:color w:val="auto"/>
          <w:sz w:val="30"/>
          <w:szCs w:val="30"/>
        </w:rPr>
        <w:instrText xml:space="preserve"> PAGEREF _Toc32555 \h </w:instrText>
      </w:r>
      <w:r>
        <w:rPr>
          <w:b/>
          <w:bCs/>
          <w:color w:val="auto"/>
          <w:sz w:val="30"/>
          <w:szCs w:val="30"/>
        </w:rPr>
        <w:fldChar w:fldCharType="separate"/>
      </w:r>
      <w:r>
        <w:rPr>
          <w:b/>
          <w:bCs/>
          <w:color w:val="auto"/>
          <w:sz w:val="30"/>
          <w:szCs w:val="30"/>
        </w:rPr>
        <w:t>56</w:t>
      </w:r>
      <w:r>
        <w:rPr>
          <w:b/>
          <w:bCs/>
          <w:color w:val="auto"/>
          <w:sz w:val="30"/>
          <w:szCs w:val="30"/>
        </w:rPr>
        <w:fldChar w:fldCharType="end"/>
      </w:r>
      <w:r>
        <w:rPr>
          <w:rFonts w:cs="Times New Roman"/>
          <w:b/>
          <w:bCs/>
          <w:color w:val="auto"/>
          <w:sz w:val="30"/>
          <w:szCs w:val="30"/>
        </w:rPr>
        <w:fldChar w:fldCharType="end"/>
      </w:r>
    </w:p>
    <w:p>
      <w:pPr>
        <w:pStyle w:val="12"/>
        <w:tabs>
          <w:tab w:val="right" w:leader="dot" w:pos="8306"/>
        </w:tabs>
        <w:rPr>
          <w:b/>
          <w:bCs/>
          <w:color w:val="auto"/>
          <w:sz w:val="30"/>
          <w:szCs w:val="30"/>
        </w:rPr>
      </w:pPr>
      <w:r>
        <w:rPr>
          <w:rFonts w:cs="Times New Roman"/>
          <w:b/>
          <w:bCs/>
          <w:color w:val="auto"/>
          <w:sz w:val="30"/>
          <w:szCs w:val="30"/>
        </w:rPr>
        <w:fldChar w:fldCharType="begin"/>
      </w:r>
      <w:r>
        <w:rPr>
          <w:rFonts w:cs="Times New Roman"/>
          <w:b/>
          <w:bCs/>
          <w:color w:val="auto"/>
          <w:sz w:val="30"/>
          <w:szCs w:val="30"/>
        </w:rPr>
        <w:instrText xml:space="preserve"> HYPERLINK \l _Toc22611 </w:instrText>
      </w:r>
      <w:r>
        <w:rPr>
          <w:rFonts w:cs="Times New Roman"/>
          <w:b/>
          <w:bCs/>
          <w:color w:val="auto"/>
          <w:sz w:val="30"/>
          <w:szCs w:val="30"/>
        </w:rPr>
        <w:fldChar w:fldCharType="separate"/>
      </w:r>
      <w:r>
        <w:rPr>
          <w:rFonts w:hint="eastAsia" w:ascii="Times New Roman" w:hAnsi="Times New Roman" w:eastAsia="仿宋" w:cs="Times New Roman"/>
          <w:b/>
          <w:bCs/>
          <w:color w:val="auto"/>
          <w:sz w:val="30"/>
          <w:szCs w:val="30"/>
        </w:rPr>
        <w:t>4</w:t>
      </w:r>
      <w:r>
        <w:rPr>
          <w:rFonts w:ascii="Times New Roman" w:hAnsi="Times New Roman" w:eastAsia="仿宋" w:cs="Times New Roman"/>
          <w:b/>
          <w:bCs/>
          <w:color w:val="auto"/>
          <w:sz w:val="30"/>
          <w:szCs w:val="30"/>
        </w:rPr>
        <w:t>.1生态保护修复成效</w:t>
      </w:r>
      <w:r>
        <w:rPr>
          <w:b/>
          <w:bCs/>
          <w:color w:val="auto"/>
          <w:sz w:val="30"/>
          <w:szCs w:val="30"/>
        </w:rPr>
        <w:tab/>
      </w:r>
      <w:r>
        <w:rPr>
          <w:b/>
          <w:bCs/>
          <w:color w:val="auto"/>
          <w:sz w:val="30"/>
          <w:szCs w:val="30"/>
        </w:rPr>
        <w:fldChar w:fldCharType="begin"/>
      </w:r>
      <w:r>
        <w:rPr>
          <w:b/>
          <w:bCs/>
          <w:color w:val="auto"/>
          <w:sz w:val="30"/>
          <w:szCs w:val="30"/>
        </w:rPr>
        <w:instrText xml:space="preserve"> PAGEREF _Toc22611 \h </w:instrText>
      </w:r>
      <w:r>
        <w:rPr>
          <w:b/>
          <w:bCs/>
          <w:color w:val="auto"/>
          <w:sz w:val="30"/>
          <w:szCs w:val="30"/>
        </w:rPr>
        <w:fldChar w:fldCharType="separate"/>
      </w:r>
      <w:r>
        <w:rPr>
          <w:b/>
          <w:bCs/>
          <w:color w:val="auto"/>
          <w:sz w:val="30"/>
          <w:szCs w:val="30"/>
        </w:rPr>
        <w:t>56</w:t>
      </w:r>
      <w:r>
        <w:rPr>
          <w:b/>
          <w:bCs/>
          <w:color w:val="auto"/>
          <w:sz w:val="30"/>
          <w:szCs w:val="30"/>
        </w:rPr>
        <w:fldChar w:fldCharType="end"/>
      </w:r>
      <w:r>
        <w:rPr>
          <w:rFonts w:cs="Times New Roman"/>
          <w:b/>
          <w:bCs/>
          <w:color w:val="auto"/>
          <w:sz w:val="30"/>
          <w:szCs w:val="30"/>
        </w:rPr>
        <w:fldChar w:fldCharType="end"/>
      </w:r>
    </w:p>
    <w:p>
      <w:pPr>
        <w:pStyle w:val="12"/>
        <w:tabs>
          <w:tab w:val="right" w:leader="dot" w:pos="8306"/>
        </w:tabs>
        <w:rPr>
          <w:b/>
          <w:bCs/>
          <w:color w:val="auto"/>
          <w:sz w:val="30"/>
          <w:szCs w:val="30"/>
        </w:rPr>
      </w:pPr>
      <w:r>
        <w:rPr>
          <w:rFonts w:cs="Times New Roman"/>
          <w:b/>
          <w:bCs/>
          <w:color w:val="auto"/>
          <w:sz w:val="30"/>
          <w:szCs w:val="30"/>
        </w:rPr>
        <w:fldChar w:fldCharType="begin"/>
      </w:r>
      <w:r>
        <w:rPr>
          <w:rFonts w:cs="Times New Roman"/>
          <w:b/>
          <w:bCs/>
          <w:color w:val="auto"/>
          <w:sz w:val="30"/>
          <w:szCs w:val="30"/>
        </w:rPr>
        <w:instrText xml:space="preserve"> HYPERLINK \l _Toc8944 </w:instrText>
      </w:r>
      <w:r>
        <w:rPr>
          <w:rFonts w:cs="Times New Roman"/>
          <w:b/>
          <w:bCs/>
          <w:color w:val="auto"/>
          <w:sz w:val="30"/>
          <w:szCs w:val="30"/>
        </w:rPr>
        <w:fldChar w:fldCharType="separate"/>
      </w:r>
      <w:r>
        <w:rPr>
          <w:rFonts w:hint="eastAsia" w:ascii="Times New Roman" w:hAnsi="Times New Roman" w:eastAsia="仿宋" w:cs="Times New Roman"/>
          <w:b/>
          <w:bCs/>
          <w:color w:val="auto"/>
          <w:sz w:val="30"/>
          <w:szCs w:val="30"/>
        </w:rPr>
        <w:t>4</w:t>
      </w:r>
      <w:r>
        <w:rPr>
          <w:rFonts w:ascii="Times New Roman" w:hAnsi="Times New Roman" w:eastAsia="仿宋" w:cs="Times New Roman"/>
          <w:b/>
          <w:bCs/>
          <w:color w:val="auto"/>
          <w:sz w:val="30"/>
          <w:szCs w:val="30"/>
        </w:rPr>
        <w:t>.2面临挑战</w:t>
      </w:r>
      <w:r>
        <w:rPr>
          <w:b/>
          <w:bCs/>
          <w:color w:val="auto"/>
          <w:sz w:val="30"/>
          <w:szCs w:val="30"/>
        </w:rPr>
        <w:tab/>
      </w:r>
      <w:r>
        <w:rPr>
          <w:b/>
          <w:bCs/>
          <w:color w:val="auto"/>
          <w:sz w:val="30"/>
          <w:szCs w:val="30"/>
        </w:rPr>
        <w:fldChar w:fldCharType="begin"/>
      </w:r>
      <w:r>
        <w:rPr>
          <w:b/>
          <w:bCs/>
          <w:color w:val="auto"/>
          <w:sz w:val="30"/>
          <w:szCs w:val="30"/>
        </w:rPr>
        <w:instrText xml:space="preserve"> PAGEREF _Toc8944 \h </w:instrText>
      </w:r>
      <w:r>
        <w:rPr>
          <w:b/>
          <w:bCs/>
          <w:color w:val="auto"/>
          <w:sz w:val="30"/>
          <w:szCs w:val="30"/>
        </w:rPr>
        <w:fldChar w:fldCharType="separate"/>
      </w:r>
      <w:r>
        <w:rPr>
          <w:b/>
          <w:bCs/>
          <w:color w:val="auto"/>
          <w:sz w:val="30"/>
          <w:szCs w:val="30"/>
        </w:rPr>
        <w:t>59</w:t>
      </w:r>
      <w:r>
        <w:rPr>
          <w:b/>
          <w:bCs/>
          <w:color w:val="auto"/>
          <w:sz w:val="30"/>
          <w:szCs w:val="30"/>
        </w:rPr>
        <w:fldChar w:fldCharType="end"/>
      </w:r>
      <w:r>
        <w:rPr>
          <w:rFonts w:cs="Times New Roman"/>
          <w:b/>
          <w:bCs/>
          <w:color w:val="auto"/>
          <w:sz w:val="30"/>
          <w:szCs w:val="30"/>
        </w:rPr>
        <w:fldChar w:fldCharType="end"/>
      </w:r>
    </w:p>
    <w:p>
      <w:pPr>
        <w:pStyle w:val="10"/>
        <w:tabs>
          <w:tab w:val="right" w:leader="dot" w:pos="8306"/>
        </w:tabs>
        <w:rPr>
          <w:b/>
          <w:bCs/>
          <w:color w:val="auto"/>
          <w:sz w:val="30"/>
          <w:szCs w:val="30"/>
        </w:rPr>
      </w:pPr>
      <w:r>
        <w:rPr>
          <w:rFonts w:cs="Times New Roman"/>
          <w:b/>
          <w:bCs/>
          <w:color w:val="auto"/>
          <w:sz w:val="30"/>
          <w:szCs w:val="30"/>
        </w:rPr>
        <w:fldChar w:fldCharType="begin"/>
      </w:r>
      <w:r>
        <w:rPr>
          <w:rFonts w:cs="Times New Roman"/>
          <w:b/>
          <w:bCs/>
          <w:color w:val="auto"/>
          <w:sz w:val="30"/>
          <w:szCs w:val="30"/>
        </w:rPr>
        <w:instrText xml:space="preserve"> HYPERLINK \l _Toc29067 </w:instrText>
      </w:r>
      <w:r>
        <w:rPr>
          <w:rFonts w:cs="Times New Roman"/>
          <w:b/>
          <w:bCs/>
          <w:color w:val="auto"/>
          <w:sz w:val="30"/>
          <w:szCs w:val="30"/>
        </w:rPr>
        <w:fldChar w:fldCharType="separate"/>
      </w:r>
      <w:r>
        <w:rPr>
          <w:rFonts w:ascii="Times New Roman" w:hAnsi="Times New Roman" w:eastAsia="仿宋"/>
          <w:b/>
          <w:bCs/>
          <w:color w:val="auto"/>
          <w:sz w:val="30"/>
          <w:szCs w:val="30"/>
        </w:rPr>
        <w:t>5</w:t>
      </w:r>
      <w:r>
        <w:rPr>
          <w:rFonts w:hint="default" w:ascii="Times New Roman" w:hAnsi="Times New Roman" w:eastAsia="仿宋"/>
          <w:b/>
          <w:bCs/>
          <w:color w:val="auto"/>
          <w:sz w:val="30"/>
          <w:szCs w:val="30"/>
        </w:rPr>
        <w:t>生态问题识别</w:t>
      </w:r>
      <w:r>
        <w:rPr>
          <w:b/>
          <w:bCs/>
          <w:color w:val="auto"/>
          <w:sz w:val="30"/>
          <w:szCs w:val="30"/>
        </w:rPr>
        <w:tab/>
      </w:r>
      <w:r>
        <w:rPr>
          <w:b/>
          <w:bCs/>
          <w:color w:val="auto"/>
          <w:sz w:val="30"/>
          <w:szCs w:val="30"/>
        </w:rPr>
        <w:fldChar w:fldCharType="begin"/>
      </w:r>
      <w:r>
        <w:rPr>
          <w:b/>
          <w:bCs/>
          <w:color w:val="auto"/>
          <w:sz w:val="30"/>
          <w:szCs w:val="30"/>
        </w:rPr>
        <w:instrText xml:space="preserve"> PAGEREF _Toc29067 \h </w:instrText>
      </w:r>
      <w:r>
        <w:rPr>
          <w:b/>
          <w:bCs/>
          <w:color w:val="auto"/>
          <w:sz w:val="30"/>
          <w:szCs w:val="30"/>
        </w:rPr>
        <w:fldChar w:fldCharType="separate"/>
      </w:r>
      <w:r>
        <w:rPr>
          <w:b/>
          <w:bCs/>
          <w:color w:val="auto"/>
          <w:sz w:val="30"/>
          <w:szCs w:val="30"/>
        </w:rPr>
        <w:t>61</w:t>
      </w:r>
      <w:r>
        <w:rPr>
          <w:b/>
          <w:bCs/>
          <w:color w:val="auto"/>
          <w:sz w:val="30"/>
          <w:szCs w:val="30"/>
        </w:rPr>
        <w:fldChar w:fldCharType="end"/>
      </w:r>
      <w:r>
        <w:rPr>
          <w:rFonts w:cs="Times New Roman"/>
          <w:b/>
          <w:bCs/>
          <w:color w:val="auto"/>
          <w:sz w:val="30"/>
          <w:szCs w:val="30"/>
        </w:rPr>
        <w:fldChar w:fldCharType="end"/>
      </w:r>
    </w:p>
    <w:p>
      <w:pPr>
        <w:pStyle w:val="12"/>
        <w:tabs>
          <w:tab w:val="right" w:leader="dot" w:pos="8306"/>
        </w:tabs>
        <w:rPr>
          <w:b/>
          <w:bCs/>
          <w:color w:val="auto"/>
          <w:sz w:val="30"/>
          <w:szCs w:val="30"/>
        </w:rPr>
      </w:pPr>
      <w:r>
        <w:rPr>
          <w:rFonts w:cs="Times New Roman"/>
          <w:b/>
          <w:bCs/>
          <w:color w:val="auto"/>
          <w:sz w:val="30"/>
          <w:szCs w:val="30"/>
        </w:rPr>
        <w:fldChar w:fldCharType="begin"/>
      </w:r>
      <w:r>
        <w:rPr>
          <w:rFonts w:cs="Times New Roman"/>
          <w:b/>
          <w:bCs/>
          <w:color w:val="auto"/>
          <w:sz w:val="30"/>
          <w:szCs w:val="30"/>
        </w:rPr>
        <w:instrText xml:space="preserve"> HYPERLINK \l _Toc10321 </w:instrText>
      </w:r>
      <w:r>
        <w:rPr>
          <w:rFonts w:cs="Times New Roman"/>
          <w:b/>
          <w:bCs/>
          <w:color w:val="auto"/>
          <w:sz w:val="30"/>
          <w:szCs w:val="30"/>
        </w:rPr>
        <w:fldChar w:fldCharType="separate"/>
      </w:r>
      <w:r>
        <w:rPr>
          <w:rFonts w:hint="eastAsia" w:ascii="Times New Roman" w:hAnsi="Times New Roman" w:eastAsia="仿宋" w:cs="Times New Roman"/>
          <w:b/>
          <w:bCs/>
          <w:color w:val="auto"/>
          <w:sz w:val="30"/>
          <w:szCs w:val="30"/>
        </w:rPr>
        <w:t>5</w:t>
      </w:r>
      <w:r>
        <w:rPr>
          <w:rFonts w:ascii="Times New Roman" w:hAnsi="Times New Roman" w:eastAsia="仿宋" w:cs="Times New Roman"/>
          <w:b/>
          <w:bCs/>
          <w:color w:val="auto"/>
          <w:sz w:val="30"/>
          <w:szCs w:val="30"/>
        </w:rPr>
        <w:t>.</w:t>
      </w:r>
      <w:r>
        <w:rPr>
          <w:rFonts w:hint="eastAsia" w:ascii="Times New Roman" w:hAnsi="Times New Roman" w:eastAsia="仿宋" w:cs="Times New Roman"/>
          <w:b/>
          <w:bCs/>
          <w:color w:val="auto"/>
          <w:sz w:val="30"/>
          <w:szCs w:val="30"/>
        </w:rPr>
        <w:t>1</w:t>
      </w:r>
      <w:r>
        <w:rPr>
          <w:rFonts w:ascii="Times New Roman" w:hAnsi="Times New Roman" w:eastAsia="仿宋" w:cs="Times New Roman"/>
          <w:b/>
          <w:bCs/>
          <w:color w:val="auto"/>
          <w:sz w:val="30"/>
          <w:szCs w:val="30"/>
        </w:rPr>
        <w:t xml:space="preserve"> 生态系统现状分析</w:t>
      </w:r>
      <w:r>
        <w:rPr>
          <w:b/>
          <w:bCs/>
          <w:color w:val="auto"/>
          <w:sz w:val="30"/>
          <w:szCs w:val="30"/>
        </w:rPr>
        <w:tab/>
      </w:r>
      <w:r>
        <w:rPr>
          <w:b/>
          <w:bCs/>
          <w:color w:val="auto"/>
          <w:sz w:val="30"/>
          <w:szCs w:val="30"/>
        </w:rPr>
        <w:fldChar w:fldCharType="begin"/>
      </w:r>
      <w:r>
        <w:rPr>
          <w:b/>
          <w:bCs/>
          <w:color w:val="auto"/>
          <w:sz w:val="30"/>
          <w:szCs w:val="30"/>
        </w:rPr>
        <w:instrText xml:space="preserve"> PAGEREF _Toc10321 \h </w:instrText>
      </w:r>
      <w:r>
        <w:rPr>
          <w:b/>
          <w:bCs/>
          <w:color w:val="auto"/>
          <w:sz w:val="30"/>
          <w:szCs w:val="30"/>
        </w:rPr>
        <w:fldChar w:fldCharType="separate"/>
      </w:r>
      <w:r>
        <w:rPr>
          <w:b/>
          <w:bCs/>
          <w:color w:val="auto"/>
          <w:sz w:val="30"/>
          <w:szCs w:val="30"/>
        </w:rPr>
        <w:t>61</w:t>
      </w:r>
      <w:r>
        <w:rPr>
          <w:b/>
          <w:bCs/>
          <w:color w:val="auto"/>
          <w:sz w:val="30"/>
          <w:szCs w:val="30"/>
        </w:rPr>
        <w:fldChar w:fldCharType="end"/>
      </w:r>
      <w:r>
        <w:rPr>
          <w:rFonts w:cs="Times New Roman"/>
          <w:b/>
          <w:bCs/>
          <w:color w:val="auto"/>
          <w:sz w:val="30"/>
          <w:szCs w:val="30"/>
        </w:rPr>
        <w:fldChar w:fldCharType="end"/>
      </w:r>
    </w:p>
    <w:p>
      <w:pPr>
        <w:pStyle w:val="12"/>
        <w:tabs>
          <w:tab w:val="right" w:leader="dot" w:pos="8306"/>
        </w:tabs>
        <w:rPr>
          <w:b/>
          <w:bCs/>
          <w:color w:val="auto"/>
          <w:sz w:val="30"/>
          <w:szCs w:val="30"/>
        </w:rPr>
      </w:pPr>
      <w:r>
        <w:rPr>
          <w:rFonts w:cs="Times New Roman"/>
          <w:b/>
          <w:bCs/>
          <w:color w:val="auto"/>
          <w:sz w:val="30"/>
          <w:szCs w:val="30"/>
        </w:rPr>
        <w:fldChar w:fldCharType="begin"/>
      </w:r>
      <w:r>
        <w:rPr>
          <w:rFonts w:cs="Times New Roman"/>
          <w:b/>
          <w:bCs/>
          <w:color w:val="auto"/>
          <w:sz w:val="30"/>
          <w:szCs w:val="30"/>
        </w:rPr>
        <w:instrText xml:space="preserve"> HYPERLINK \l _Toc21096 </w:instrText>
      </w:r>
      <w:r>
        <w:rPr>
          <w:rFonts w:cs="Times New Roman"/>
          <w:b/>
          <w:bCs/>
          <w:color w:val="auto"/>
          <w:sz w:val="30"/>
          <w:szCs w:val="30"/>
        </w:rPr>
        <w:fldChar w:fldCharType="separate"/>
      </w:r>
      <w:r>
        <w:rPr>
          <w:rFonts w:hint="eastAsia" w:ascii="Times New Roman" w:hAnsi="Times New Roman" w:eastAsia="仿宋" w:cs="Times New Roman"/>
          <w:b/>
          <w:bCs/>
          <w:color w:val="auto"/>
          <w:sz w:val="30"/>
          <w:szCs w:val="30"/>
        </w:rPr>
        <w:t>5.2</w:t>
      </w:r>
      <w:r>
        <w:rPr>
          <w:rFonts w:ascii="Times New Roman" w:hAnsi="Times New Roman" w:eastAsia="仿宋" w:cs="Times New Roman"/>
          <w:b/>
          <w:bCs/>
          <w:color w:val="auto"/>
          <w:sz w:val="30"/>
          <w:szCs w:val="30"/>
        </w:rPr>
        <w:t>主要问题识别</w:t>
      </w:r>
      <w:r>
        <w:rPr>
          <w:b/>
          <w:bCs/>
          <w:color w:val="auto"/>
          <w:sz w:val="30"/>
          <w:szCs w:val="30"/>
        </w:rPr>
        <w:tab/>
      </w:r>
      <w:r>
        <w:rPr>
          <w:b/>
          <w:bCs/>
          <w:color w:val="auto"/>
          <w:sz w:val="30"/>
          <w:szCs w:val="30"/>
        </w:rPr>
        <w:fldChar w:fldCharType="begin"/>
      </w:r>
      <w:r>
        <w:rPr>
          <w:b/>
          <w:bCs/>
          <w:color w:val="auto"/>
          <w:sz w:val="30"/>
          <w:szCs w:val="30"/>
        </w:rPr>
        <w:instrText xml:space="preserve"> PAGEREF _Toc21096 \h </w:instrText>
      </w:r>
      <w:r>
        <w:rPr>
          <w:b/>
          <w:bCs/>
          <w:color w:val="auto"/>
          <w:sz w:val="30"/>
          <w:szCs w:val="30"/>
        </w:rPr>
        <w:fldChar w:fldCharType="separate"/>
      </w:r>
      <w:r>
        <w:rPr>
          <w:b/>
          <w:bCs/>
          <w:color w:val="auto"/>
          <w:sz w:val="30"/>
          <w:szCs w:val="30"/>
        </w:rPr>
        <w:t>68</w:t>
      </w:r>
      <w:r>
        <w:rPr>
          <w:b/>
          <w:bCs/>
          <w:color w:val="auto"/>
          <w:sz w:val="30"/>
          <w:szCs w:val="30"/>
        </w:rPr>
        <w:fldChar w:fldCharType="end"/>
      </w:r>
      <w:r>
        <w:rPr>
          <w:rFonts w:cs="Times New Roman"/>
          <w:b/>
          <w:bCs/>
          <w:color w:val="auto"/>
          <w:sz w:val="30"/>
          <w:szCs w:val="30"/>
        </w:rPr>
        <w:fldChar w:fldCharType="end"/>
      </w:r>
    </w:p>
    <w:p>
      <w:pPr>
        <w:pStyle w:val="10"/>
        <w:tabs>
          <w:tab w:val="right" w:leader="dot" w:pos="8306"/>
        </w:tabs>
        <w:rPr>
          <w:b/>
          <w:bCs/>
          <w:color w:val="auto"/>
          <w:sz w:val="30"/>
          <w:szCs w:val="30"/>
        </w:rPr>
      </w:pPr>
      <w:r>
        <w:rPr>
          <w:rFonts w:cs="Times New Roman"/>
          <w:b/>
          <w:bCs/>
          <w:color w:val="auto"/>
          <w:sz w:val="30"/>
          <w:szCs w:val="30"/>
        </w:rPr>
        <w:fldChar w:fldCharType="begin"/>
      </w:r>
      <w:r>
        <w:rPr>
          <w:rFonts w:cs="Times New Roman"/>
          <w:b/>
          <w:bCs/>
          <w:color w:val="auto"/>
          <w:sz w:val="30"/>
          <w:szCs w:val="30"/>
        </w:rPr>
        <w:instrText xml:space="preserve"> HYPERLINK \l _Toc1626 </w:instrText>
      </w:r>
      <w:r>
        <w:rPr>
          <w:rFonts w:cs="Times New Roman"/>
          <w:b/>
          <w:bCs/>
          <w:color w:val="auto"/>
          <w:sz w:val="30"/>
          <w:szCs w:val="30"/>
        </w:rPr>
        <w:fldChar w:fldCharType="separate"/>
      </w:r>
      <w:r>
        <w:rPr>
          <w:rFonts w:ascii="Times New Roman" w:hAnsi="Times New Roman" w:eastAsia="仿宋"/>
          <w:b/>
          <w:bCs/>
          <w:color w:val="auto"/>
          <w:sz w:val="30"/>
          <w:szCs w:val="30"/>
        </w:rPr>
        <w:t>6</w:t>
      </w:r>
      <w:r>
        <w:rPr>
          <w:rFonts w:hint="default" w:ascii="Times New Roman" w:hAnsi="Times New Roman" w:eastAsia="仿宋"/>
          <w:b/>
          <w:bCs/>
          <w:color w:val="auto"/>
          <w:sz w:val="30"/>
          <w:szCs w:val="30"/>
        </w:rPr>
        <w:t xml:space="preserve"> 生态功能保护修复分区布局</w:t>
      </w:r>
      <w:r>
        <w:rPr>
          <w:b/>
          <w:bCs/>
          <w:color w:val="auto"/>
          <w:sz w:val="30"/>
          <w:szCs w:val="30"/>
        </w:rPr>
        <w:tab/>
      </w:r>
      <w:r>
        <w:rPr>
          <w:b/>
          <w:bCs/>
          <w:color w:val="auto"/>
          <w:sz w:val="30"/>
          <w:szCs w:val="30"/>
        </w:rPr>
        <w:fldChar w:fldCharType="begin"/>
      </w:r>
      <w:r>
        <w:rPr>
          <w:b/>
          <w:bCs/>
          <w:color w:val="auto"/>
          <w:sz w:val="30"/>
          <w:szCs w:val="30"/>
        </w:rPr>
        <w:instrText xml:space="preserve"> PAGEREF _Toc1626 \h </w:instrText>
      </w:r>
      <w:r>
        <w:rPr>
          <w:b/>
          <w:bCs/>
          <w:color w:val="auto"/>
          <w:sz w:val="30"/>
          <w:szCs w:val="30"/>
        </w:rPr>
        <w:fldChar w:fldCharType="separate"/>
      </w:r>
      <w:r>
        <w:rPr>
          <w:b/>
          <w:bCs/>
          <w:color w:val="auto"/>
          <w:sz w:val="30"/>
          <w:szCs w:val="30"/>
        </w:rPr>
        <w:t>77</w:t>
      </w:r>
      <w:r>
        <w:rPr>
          <w:b/>
          <w:bCs/>
          <w:color w:val="auto"/>
          <w:sz w:val="30"/>
          <w:szCs w:val="30"/>
        </w:rPr>
        <w:fldChar w:fldCharType="end"/>
      </w:r>
      <w:r>
        <w:rPr>
          <w:rFonts w:cs="Times New Roman"/>
          <w:b/>
          <w:bCs/>
          <w:color w:val="auto"/>
          <w:sz w:val="30"/>
          <w:szCs w:val="30"/>
        </w:rPr>
        <w:fldChar w:fldCharType="end"/>
      </w:r>
    </w:p>
    <w:p>
      <w:pPr>
        <w:pStyle w:val="12"/>
        <w:tabs>
          <w:tab w:val="right" w:leader="dot" w:pos="8306"/>
        </w:tabs>
        <w:rPr>
          <w:b/>
          <w:bCs/>
          <w:color w:val="auto"/>
          <w:sz w:val="30"/>
          <w:szCs w:val="30"/>
        </w:rPr>
      </w:pPr>
      <w:r>
        <w:rPr>
          <w:rFonts w:cs="Times New Roman"/>
          <w:b/>
          <w:bCs/>
          <w:color w:val="auto"/>
          <w:sz w:val="30"/>
          <w:szCs w:val="30"/>
        </w:rPr>
        <w:fldChar w:fldCharType="begin"/>
      </w:r>
      <w:r>
        <w:rPr>
          <w:rFonts w:cs="Times New Roman"/>
          <w:b/>
          <w:bCs/>
          <w:color w:val="auto"/>
          <w:sz w:val="30"/>
          <w:szCs w:val="30"/>
        </w:rPr>
        <w:instrText xml:space="preserve"> HYPERLINK \l _Toc15251 </w:instrText>
      </w:r>
      <w:r>
        <w:rPr>
          <w:rFonts w:cs="Times New Roman"/>
          <w:b/>
          <w:bCs/>
          <w:color w:val="auto"/>
          <w:sz w:val="30"/>
          <w:szCs w:val="30"/>
        </w:rPr>
        <w:fldChar w:fldCharType="separate"/>
      </w:r>
      <w:r>
        <w:rPr>
          <w:rFonts w:hint="eastAsia" w:ascii="Times New Roman" w:hAnsi="Times New Roman" w:eastAsia="仿宋" w:cs="Times New Roman"/>
          <w:b/>
          <w:bCs/>
          <w:color w:val="auto"/>
          <w:sz w:val="30"/>
          <w:szCs w:val="30"/>
        </w:rPr>
        <w:t>6</w:t>
      </w:r>
      <w:r>
        <w:rPr>
          <w:rFonts w:ascii="Times New Roman" w:hAnsi="Times New Roman" w:eastAsia="仿宋" w:cs="Times New Roman"/>
          <w:b/>
          <w:bCs/>
          <w:color w:val="auto"/>
          <w:sz w:val="30"/>
          <w:szCs w:val="30"/>
        </w:rPr>
        <w:t>.1 努敏河上游</w:t>
      </w:r>
      <w:r>
        <w:rPr>
          <w:rFonts w:hint="eastAsia" w:ascii="Times New Roman" w:hAnsi="Times New Roman" w:eastAsia="仿宋" w:cs="Times New Roman"/>
          <w:b/>
          <w:bCs/>
          <w:color w:val="auto"/>
          <w:sz w:val="30"/>
          <w:szCs w:val="30"/>
        </w:rPr>
        <w:t>水源涵养</w:t>
      </w:r>
      <w:r>
        <w:rPr>
          <w:rFonts w:hint="eastAsia" w:ascii="Times New Roman" w:hAnsi="Times New Roman" w:eastAsia="仿宋" w:cs="Times New Roman"/>
          <w:b/>
          <w:bCs/>
          <w:color w:val="auto"/>
          <w:sz w:val="30"/>
          <w:szCs w:val="30"/>
          <w:lang w:val="en-US" w:eastAsia="zh-CN"/>
        </w:rPr>
        <w:t>和土壤保持</w:t>
      </w:r>
      <w:r>
        <w:rPr>
          <w:rFonts w:ascii="Times New Roman" w:hAnsi="Times New Roman" w:eastAsia="仿宋" w:cs="Times New Roman"/>
          <w:b/>
          <w:bCs/>
          <w:color w:val="auto"/>
          <w:sz w:val="30"/>
          <w:szCs w:val="30"/>
        </w:rPr>
        <w:t>生态保护修复区</w:t>
      </w:r>
      <w:r>
        <w:rPr>
          <w:b/>
          <w:bCs/>
          <w:color w:val="auto"/>
          <w:sz w:val="30"/>
          <w:szCs w:val="30"/>
        </w:rPr>
        <w:tab/>
      </w:r>
      <w:r>
        <w:rPr>
          <w:b/>
          <w:bCs/>
          <w:color w:val="auto"/>
          <w:sz w:val="30"/>
          <w:szCs w:val="30"/>
        </w:rPr>
        <w:fldChar w:fldCharType="begin"/>
      </w:r>
      <w:r>
        <w:rPr>
          <w:b/>
          <w:bCs/>
          <w:color w:val="auto"/>
          <w:sz w:val="30"/>
          <w:szCs w:val="30"/>
        </w:rPr>
        <w:instrText xml:space="preserve"> PAGEREF _Toc15251 \h </w:instrText>
      </w:r>
      <w:r>
        <w:rPr>
          <w:b/>
          <w:bCs/>
          <w:color w:val="auto"/>
          <w:sz w:val="30"/>
          <w:szCs w:val="30"/>
        </w:rPr>
        <w:fldChar w:fldCharType="separate"/>
      </w:r>
      <w:r>
        <w:rPr>
          <w:b/>
          <w:bCs/>
          <w:color w:val="auto"/>
          <w:sz w:val="30"/>
          <w:szCs w:val="30"/>
        </w:rPr>
        <w:t>77</w:t>
      </w:r>
      <w:r>
        <w:rPr>
          <w:b/>
          <w:bCs/>
          <w:color w:val="auto"/>
          <w:sz w:val="30"/>
          <w:szCs w:val="30"/>
        </w:rPr>
        <w:fldChar w:fldCharType="end"/>
      </w:r>
      <w:r>
        <w:rPr>
          <w:rFonts w:cs="Times New Roman"/>
          <w:b/>
          <w:bCs/>
          <w:color w:val="auto"/>
          <w:sz w:val="30"/>
          <w:szCs w:val="30"/>
        </w:rPr>
        <w:fldChar w:fldCharType="end"/>
      </w:r>
    </w:p>
    <w:p>
      <w:pPr>
        <w:pStyle w:val="12"/>
        <w:tabs>
          <w:tab w:val="right" w:leader="dot" w:pos="8306"/>
        </w:tabs>
        <w:rPr>
          <w:b/>
          <w:bCs/>
          <w:color w:val="auto"/>
          <w:sz w:val="30"/>
          <w:szCs w:val="30"/>
        </w:rPr>
      </w:pPr>
      <w:r>
        <w:rPr>
          <w:rFonts w:cs="Times New Roman"/>
          <w:b/>
          <w:bCs/>
          <w:color w:val="auto"/>
          <w:sz w:val="30"/>
          <w:szCs w:val="30"/>
        </w:rPr>
        <w:fldChar w:fldCharType="begin"/>
      </w:r>
      <w:r>
        <w:rPr>
          <w:rFonts w:cs="Times New Roman"/>
          <w:b/>
          <w:bCs/>
          <w:color w:val="auto"/>
          <w:sz w:val="30"/>
          <w:szCs w:val="30"/>
        </w:rPr>
        <w:instrText xml:space="preserve"> HYPERLINK \l _Toc12720 </w:instrText>
      </w:r>
      <w:r>
        <w:rPr>
          <w:rFonts w:cs="Times New Roman"/>
          <w:b/>
          <w:bCs/>
          <w:color w:val="auto"/>
          <w:sz w:val="30"/>
          <w:szCs w:val="30"/>
        </w:rPr>
        <w:fldChar w:fldCharType="separate"/>
      </w:r>
      <w:r>
        <w:rPr>
          <w:rFonts w:hint="eastAsia" w:ascii="Times New Roman" w:hAnsi="Times New Roman" w:eastAsia="仿宋" w:cs="Times New Roman"/>
          <w:b/>
          <w:bCs/>
          <w:color w:val="auto"/>
          <w:sz w:val="30"/>
          <w:szCs w:val="30"/>
        </w:rPr>
        <w:t>6</w:t>
      </w:r>
      <w:r>
        <w:rPr>
          <w:rFonts w:ascii="Times New Roman" w:hAnsi="Times New Roman" w:eastAsia="仿宋" w:cs="Times New Roman"/>
          <w:b/>
          <w:bCs/>
          <w:color w:val="auto"/>
          <w:sz w:val="30"/>
          <w:szCs w:val="30"/>
        </w:rPr>
        <w:t>.2 努敏河—墨尔根河</w:t>
      </w:r>
      <w:r>
        <w:rPr>
          <w:rFonts w:hint="eastAsia" w:ascii="Times New Roman" w:hAnsi="Times New Roman" w:eastAsia="仿宋" w:cs="Times New Roman"/>
          <w:b/>
          <w:bCs/>
          <w:color w:val="auto"/>
          <w:sz w:val="30"/>
          <w:szCs w:val="30"/>
        </w:rPr>
        <w:t>水源涵养</w:t>
      </w:r>
      <w:r>
        <w:rPr>
          <w:rFonts w:ascii="Times New Roman" w:hAnsi="Times New Roman" w:eastAsia="仿宋" w:cs="Times New Roman"/>
          <w:b/>
          <w:bCs/>
          <w:color w:val="auto"/>
          <w:sz w:val="30"/>
          <w:szCs w:val="30"/>
        </w:rPr>
        <w:t>和土壤保持生态保护修复区</w:t>
      </w:r>
      <w:r>
        <w:rPr>
          <w:b/>
          <w:bCs/>
          <w:color w:val="auto"/>
          <w:sz w:val="30"/>
          <w:szCs w:val="30"/>
        </w:rPr>
        <w:tab/>
      </w:r>
      <w:r>
        <w:rPr>
          <w:b/>
          <w:bCs/>
          <w:color w:val="auto"/>
          <w:sz w:val="30"/>
          <w:szCs w:val="30"/>
        </w:rPr>
        <w:fldChar w:fldCharType="begin"/>
      </w:r>
      <w:r>
        <w:rPr>
          <w:b/>
          <w:bCs/>
          <w:color w:val="auto"/>
          <w:sz w:val="30"/>
          <w:szCs w:val="30"/>
        </w:rPr>
        <w:instrText xml:space="preserve"> PAGEREF _Toc12720 \h </w:instrText>
      </w:r>
      <w:r>
        <w:rPr>
          <w:b/>
          <w:bCs/>
          <w:color w:val="auto"/>
          <w:sz w:val="30"/>
          <w:szCs w:val="30"/>
        </w:rPr>
        <w:fldChar w:fldCharType="separate"/>
      </w:r>
      <w:r>
        <w:rPr>
          <w:b/>
          <w:bCs/>
          <w:color w:val="auto"/>
          <w:sz w:val="30"/>
          <w:szCs w:val="30"/>
        </w:rPr>
        <w:t>79</w:t>
      </w:r>
      <w:r>
        <w:rPr>
          <w:b/>
          <w:bCs/>
          <w:color w:val="auto"/>
          <w:sz w:val="30"/>
          <w:szCs w:val="30"/>
        </w:rPr>
        <w:fldChar w:fldCharType="end"/>
      </w:r>
      <w:r>
        <w:rPr>
          <w:rFonts w:cs="Times New Roman"/>
          <w:b/>
          <w:bCs/>
          <w:color w:val="auto"/>
          <w:sz w:val="30"/>
          <w:szCs w:val="30"/>
        </w:rPr>
        <w:fldChar w:fldCharType="end"/>
      </w:r>
    </w:p>
    <w:p>
      <w:pPr>
        <w:pStyle w:val="12"/>
        <w:tabs>
          <w:tab w:val="right" w:leader="dot" w:pos="8306"/>
        </w:tabs>
        <w:rPr>
          <w:b/>
          <w:bCs/>
          <w:color w:val="auto"/>
          <w:sz w:val="30"/>
          <w:szCs w:val="30"/>
        </w:rPr>
      </w:pPr>
      <w:r>
        <w:rPr>
          <w:rFonts w:cs="Times New Roman"/>
          <w:b/>
          <w:bCs/>
          <w:color w:val="auto"/>
          <w:sz w:val="30"/>
          <w:szCs w:val="30"/>
        </w:rPr>
        <w:fldChar w:fldCharType="begin"/>
      </w:r>
      <w:r>
        <w:rPr>
          <w:rFonts w:cs="Times New Roman"/>
          <w:b/>
          <w:bCs/>
          <w:color w:val="auto"/>
          <w:sz w:val="30"/>
          <w:szCs w:val="30"/>
        </w:rPr>
        <w:instrText xml:space="preserve"> HYPERLINK \l _Toc13106 </w:instrText>
      </w:r>
      <w:r>
        <w:rPr>
          <w:rFonts w:cs="Times New Roman"/>
          <w:b/>
          <w:bCs/>
          <w:color w:val="auto"/>
          <w:sz w:val="30"/>
          <w:szCs w:val="30"/>
        </w:rPr>
        <w:fldChar w:fldCharType="separate"/>
      </w:r>
      <w:r>
        <w:rPr>
          <w:rFonts w:hint="eastAsia" w:ascii="Times New Roman" w:hAnsi="Times New Roman" w:eastAsia="仿宋" w:cs="Times New Roman"/>
          <w:b/>
          <w:bCs/>
          <w:color w:val="auto"/>
          <w:sz w:val="30"/>
          <w:szCs w:val="30"/>
        </w:rPr>
        <w:t>6</w:t>
      </w:r>
      <w:r>
        <w:rPr>
          <w:rFonts w:ascii="Times New Roman" w:hAnsi="Times New Roman" w:eastAsia="仿宋" w:cs="Times New Roman"/>
          <w:b/>
          <w:bCs/>
          <w:color w:val="auto"/>
          <w:sz w:val="30"/>
          <w:szCs w:val="30"/>
        </w:rPr>
        <w:t>.3 努敏河—克音河土壤保持生态保护修复区</w:t>
      </w:r>
      <w:r>
        <w:rPr>
          <w:b/>
          <w:bCs/>
          <w:color w:val="auto"/>
          <w:sz w:val="30"/>
          <w:szCs w:val="30"/>
        </w:rPr>
        <w:tab/>
      </w:r>
      <w:r>
        <w:rPr>
          <w:b/>
          <w:bCs/>
          <w:color w:val="auto"/>
          <w:sz w:val="30"/>
          <w:szCs w:val="30"/>
        </w:rPr>
        <w:fldChar w:fldCharType="begin"/>
      </w:r>
      <w:r>
        <w:rPr>
          <w:b/>
          <w:bCs/>
          <w:color w:val="auto"/>
          <w:sz w:val="30"/>
          <w:szCs w:val="30"/>
        </w:rPr>
        <w:instrText xml:space="preserve"> PAGEREF _Toc13106 \h </w:instrText>
      </w:r>
      <w:r>
        <w:rPr>
          <w:b/>
          <w:bCs/>
          <w:color w:val="auto"/>
          <w:sz w:val="30"/>
          <w:szCs w:val="30"/>
        </w:rPr>
        <w:fldChar w:fldCharType="separate"/>
      </w:r>
      <w:r>
        <w:rPr>
          <w:b/>
          <w:bCs/>
          <w:color w:val="auto"/>
          <w:sz w:val="30"/>
          <w:szCs w:val="30"/>
        </w:rPr>
        <w:t>81</w:t>
      </w:r>
      <w:r>
        <w:rPr>
          <w:b/>
          <w:bCs/>
          <w:color w:val="auto"/>
          <w:sz w:val="30"/>
          <w:szCs w:val="30"/>
        </w:rPr>
        <w:fldChar w:fldCharType="end"/>
      </w:r>
      <w:r>
        <w:rPr>
          <w:rFonts w:cs="Times New Roman"/>
          <w:b/>
          <w:bCs/>
          <w:color w:val="auto"/>
          <w:sz w:val="30"/>
          <w:szCs w:val="30"/>
        </w:rPr>
        <w:fldChar w:fldCharType="end"/>
      </w:r>
    </w:p>
    <w:p>
      <w:pPr>
        <w:pStyle w:val="10"/>
        <w:tabs>
          <w:tab w:val="right" w:leader="dot" w:pos="8306"/>
        </w:tabs>
        <w:rPr>
          <w:b/>
          <w:bCs/>
          <w:color w:val="auto"/>
          <w:sz w:val="30"/>
          <w:szCs w:val="30"/>
        </w:rPr>
      </w:pPr>
      <w:r>
        <w:rPr>
          <w:rFonts w:cs="Times New Roman"/>
          <w:b/>
          <w:bCs/>
          <w:color w:val="auto"/>
          <w:sz w:val="30"/>
          <w:szCs w:val="30"/>
        </w:rPr>
        <w:fldChar w:fldCharType="begin"/>
      </w:r>
      <w:r>
        <w:rPr>
          <w:rFonts w:cs="Times New Roman"/>
          <w:b/>
          <w:bCs/>
          <w:color w:val="auto"/>
          <w:sz w:val="30"/>
          <w:szCs w:val="30"/>
        </w:rPr>
        <w:instrText xml:space="preserve"> HYPERLINK \l _Toc21391 </w:instrText>
      </w:r>
      <w:r>
        <w:rPr>
          <w:rFonts w:cs="Times New Roman"/>
          <w:b/>
          <w:bCs/>
          <w:color w:val="auto"/>
          <w:sz w:val="30"/>
          <w:szCs w:val="30"/>
        </w:rPr>
        <w:fldChar w:fldCharType="separate"/>
      </w:r>
      <w:r>
        <w:rPr>
          <w:rFonts w:ascii="Times New Roman" w:hAnsi="Times New Roman" w:eastAsia="仿宋"/>
          <w:b/>
          <w:bCs/>
          <w:color w:val="auto"/>
          <w:sz w:val="30"/>
          <w:szCs w:val="30"/>
        </w:rPr>
        <w:t>7</w:t>
      </w:r>
      <w:r>
        <w:rPr>
          <w:rFonts w:hint="default" w:ascii="Times New Roman" w:hAnsi="Times New Roman" w:eastAsia="仿宋"/>
          <w:b/>
          <w:bCs/>
          <w:color w:val="auto"/>
          <w:sz w:val="30"/>
          <w:szCs w:val="30"/>
        </w:rPr>
        <w:t xml:space="preserve"> 规划主要任务</w:t>
      </w:r>
      <w:r>
        <w:rPr>
          <w:b/>
          <w:bCs/>
          <w:color w:val="auto"/>
          <w:sz w:val="30"/>
          <w:szCs w:val="30"/>
        </w:rPr>
        <w:tab/>
      </w:r>
      <w:r>
        <w:rPr>
          <w:b/>
          <w:bCs/>
          <w:color w:val="auto"/>
          <w:sz w:val="30"/>
          <w:szCs w:val="30"/>
        </w:rPr>
        <w:fldChar w:fldCharType="begin"/>
      </w:r>
      <w:r>
        <w:rPr>
          <w:b/>
          <w:bCs/>
          <w:color w:val="auto"/>
          <w:sz w:val="30"/>
          <w:szCs w:val="30"/>
        </w:rPr>
        <w:instrText xml:space="preserve"> PAGEREF _Toc21391 \h </w:instrText>
      </w:r>
      <w:r>
        <w:rPr>
          <w:b/>
          <w:bCs/>
          <w:color w:val="auto"/>
          <w:sz w:val="30"/>
          <w:szCs w:val="30"/>
        </w:rPr>
        <w:fldChar w:fldCharType="separate"/>
      </w:r>
      <w:r>
        <w:rPr>
          <w:b/>
          <w:bCs/>
          <w:color w:val="auto"/>
          <w:sz w:val="30"/>
          <w:szCs w:val="30"/>
        </w:rPr>
        <w:t>83</w:t>
      </w:r>
      <w:r>
        <w:rPr>
          <w:b/>
          <w:bCs/>
          <w:color w:val="auto"/>
          <w:sz w:val="30"/>
          <w:szCs w:val="30"/>
        </w:rPr>
        <w:fldChar w:fldCharType="end"/>
      </w:r>
      <w:r>
        <w:rPr>
          <w:rFonts w:cs="Times New Roman"/>
          <w:b/>
          <w:bCs/>
          <w:color w:val="auto"/>
          <w:sz w:val="30"/>
          <w:szCs w:val="30"/>
        </w:rPr>
        <w:fldChar w:fldCharType="end"/>
      </w:r>
    </w:p>
    <w:p>
      <w:pPr>
        <w:pStyle w:val="12"/>
        <w:tabs>
          <w:tab w:val="right" w:leader="dot" w:pos="8306"/>
        </w:tabs>
        <w:rPr>
          <w:b/>
          <w:bCs/>
          <w:color w:val="auto"/>
          <w:sz w:val="30"/>
          <w:szCs w:val="30"/>
        </w:rPr>
      </w:pPr>
      <w:r>
        <w:rPr>
          <w:rFonts w:cs="Times New Roman"/>
          <w:b/>
          <w:bCs/>
          <w:color w:val="auto"/>
          <w:sz w:val="30"/>
          <w:szCs w:val="30"/>
        </w:rPr>
        <w:fldChar w:fldCharType="begin"/>
      </w:r>
      <w:r>
        <w:rPr>
          <w:rFonts w:cs="Times New Roman"/>
          <w:b/>
          <w:bCs/>
          <w:color w:val="auto"/>
          <w:sz w:val="30"/>
          <w:szCs w:val="30"/>
        </w:rPr>
        <w:instrText xml:space="preserve"> HYPERLINK \l _Toc21115 </w:instrText>
      </w:r>
      <w:r>
        <w:rPr>
          <w:rFonts w:cs="Times New Roman"/>
          <w:b/>
          <w:bCs/>
          <w:color w:val="auto"/>
          <w:sz w:val="30"/>
          <w:szCs w:val="30"/>
        </w:rPr>
        <w:fldChar w:fldCharType="separate"/>
      </w:r>
      <w:r>
        <w:rPr>
          <w:rFonts w:hint="eastAsia" w:ascii="Times New Roman" w:hAnsi="Times New Roman" w:eastAsia="仿宋" w:cs="Times New Roman"/>
          <w:b/>
          <w:bCs/>
          <w:color w:val="auto"/>
          <w:sz w:val="30"/>
          <w:szCs w:val="30"/>
        </w:rPr>
        <w:t>7</w:t>
      </w:r>
      <w:r>
        <w:rPr>
          <w:rFonts w:ascii="Times New Roman" w:hAnsi="Times New Roman" w:eastAsia="仿宋" w:cs="Times New Roman"/>
          <w:b/>
          <w:bCs/>
          <w:color w:val="auto"/>
          <w:sz w:val="30"/>
          <w:szCs w:val="30"/>
        </w:rPr>
        <w:t>.1全面提升水源涵养能力，保障森林覆盖率</w:t>
      </w:r>
      <w:r>
        <w:rPr>
          <w:b/>
          <w:bCs/>
          <w:color w:val="auto"/>
          <w:sz w:val="30"/>
          <w:szCs w:val="30"/>
        </w:rPr>
        <w:tab/>
      </w:r>
      <w:r>
        <w:rPr>
          <w:b/>
          <w:bCs/>
          <w:color w:val="auto"/>
          <w:sz w:val="30"/>
          <w:szCs w:val="30"/>
        </w:rPr>
        <w:fldChar w:fldCharType="begin"/>
      </w:r>
      <w:r>
        <w:rPr>
          <w:b/>
          <w:bCs/>
          <w:color w:val="auto"/>
          <w:sz w:val="30"/>
          <w:szCs w:val="30"/>
        </w:rPr>
        <w:instrText xml:space="preserve"> PAGEREF _Toc21115 \h </w:instrText>
      </w:r>
      <w:r>
        <w:rPr>
          <w:b/>
          <w:bCs/>
          <w:color w:val="auto"/>
          <w:sz w:val="30"/>
          <w:szCs w:val="30"/>
        </w:rPr>
        <w:fldChar w:fldCharType="separate"/>
      </w:r>
      <w:r>
        <w:rPr>
          <w:b/>
          <w:bCs/>
          <w:color w:val="auto"/>
          <w:sz w:val="30"/>
          <w:szCs w:val="30"/>
        </w:rPr>
        <w:t>83</w:t>
      </w:r>
      <w:r>
        <w:rPr>
          <w:b/>
          <w:bCs/>
          <w:color w:val="auto"/>
          <w:sz w:val="30"/>
          <w:szCs w:val="30"/>
        </w:rPr>
        <w:fldChar w:fldCharType="end"/>
      </w:r>
      <w:r>
        <w:rPr>
          <w:rFonts w:cs="Times New Roman"/>
          <w:b/>
          <w:bCs/>
          <w:color w:val="auto"/>
          <w:sz w:val="30"/>
          <w:szCs w:val="30"/>
        </w:rPr>
        <w:fldChar w:fldCharType="end"/>
      </w:r>
    </w:p>
    <w:p>
      <w:pPr>
        <w:pStyle w:val="12"/>
        <w:tabs>
          <w:tab w:val="right" w:leader="dot" w:pos="8306"/>
        </w:tabs>
        <w:rPr>
          <w:b/>
          <w:bCs/>
          <w:color w:val="auto"/>
          <w:sz w:val="30"/>
          <w:szCs w:val="30"/>
        </w:rPr>
      </w:pPr>
      <w:r>
        <w:rPr>
          <w:rFonts w:cs="Times New Roman"/>
          <w:b/>
          <w:bCs/>
          <w:color w:val="auto"/>
          <w:sz w:val="30"/>
          <w:szCs w:val="30"/>
        </w:rPr>
        <w:fldChar w:fldCharType="begin"/>
      </w:r>
      <w:r>
        <w:rPr>
          <w:rFonts w:cs="Times New Roman"/>
          <w:b/>
          <w:bCs/>
          <w:color w:val="auto"/>
          <w:sz w:val="30"/>
          <w:szCs w:val="30"/>
        </w:rPr>
        <w:instrText xml:space="preserve"> HYPERLINK \l _Toc2458 </w:instrText>
      </w:r>
      <w:r>
        <w:rPr>
          <w:rFonts w:cs="Times New Roman"/>
          <w:b/>
          <w:bCs/>
          <w:color w:val="auto"/>
          <w:sz w:val="30"/>
          <w:szCs w:val="30"/>
        </w:rPr>
        <w:fldChar w:fldCharType="separate"/>
      </w:r>
      <w:r>
        <w:rPr>
          <w:rFonts w:hint="eastAsia" w:ascii="Times New Roman" w:hAnsi="Times New Roman" w:eastAsia="仿宋" w:cs="Times New Roman"/>
          <w:b/>
          <w:bCs/>
          <w:color w:val="auto"/>
          <w:sz w:val="30"/>
          <w:szCs w:val="30"/>
        </w:rPr>
        <w:t>7</w:t>
      </w:r>
      <w:r>
        <w:rPr>
          <w:rFonts w:ascii="Times New Roman" w:hAnsi="Times New Roman" w:eastAsia="仿宋" w:cs="Times New Roman"/>
          <w:b/>
          <w:bCs/>
          <w:color w:val="auto"/>
          <w:sz w:val="30"/>
          <w:szCs w:val="30"/>
        </w:rPr>
        <w:t>.2加大水土流失综合治理力度，提升土壤保持能力</w:t>
      </w:r>
      <w:r>
        <w:rPr>
          <w:b/>
          <w:bCs/>
          <w:color w:val="auto"/>
          <w:sz w:val="30"/>
          <w:szCs w:val="30"/>
        </w:rPr>
        <w:tab/>
      </w:r>
      <w:r>
        <w:rPr>
          <w:b/>
          <w:bCs/>
          <w:color w:val="auto"/>
          <w:sz w:val="30"/>
          <w:szCs w:val="30"/>
        </w:rPr>
        <w:fldChar w:fldCharType="begin"/>
      </w:r>
      <w:r>
        <w:rPr>
          <w:b/>
          <w:bCs/>
          <w:color w:val="auto"/>
          <w:sz w:val="30"/>
          <w:szCs w:val="30"/>
        </w:rPr>
        <w:instrText xml:space="preserve"> PAGEREF _Toc2458 \h </w:instrText>
      </w:r>
      <w:r>
        <w:rPr>
          <w:b/>
          <w:bCs/>
          <w:color w:val="auto"/>
          <w:sz w:val="30"/>
          <w:szCs w:val="30"/>
        </w:rPr>
        <w:fldChar w:fldCharType="separate"/>
      </w:r>
      <w:r>
        <w:rPr>
          <w:b/>
          <w:bCs/>
          <w:color w:val="auto"/>
          <w:sz w:val="30"/>
          <w:szCs w:val="30"/>
        </w:rPr>
        <w:t>84</w:t>
      </w:r>
      <w:r>
        <w:rPr>
          <w:b/>
          <w:bCs/>
          <w:color w:val="auto"/>
          <w:sz w:val="30"/>
          <w:szCs w:val="30"/>
        </w:rPr>
        <w:fldChar w:fldCharType="end"/>
      </w:r>
      <w:r>
        <w:rPr>
          <w:rFonts w:cs="Times New Roman"/>
          <w:b/>
          <w:bCs/>
          <w:color w:val="auto"/>
          <w:sz w:val="30"/>
          <w:szCs w:val="30"/>
        </w:rPr>
        <w:fldChar w:fldCharType="end"/>
      </w:r>
    </w:p>
    <w:p>
      <w:pPr>
        <w:pStyle w:val="12"/>
        <w:tabs>
          <w:tab w:val="right" w:leader="dot" w:pos="8306"/>
        </w:tabs>
        <w:rPr>
          <w:b/>
          <w:bCs/>
          <w:color w:val="auto"/>
          <w:sz w:val="30"/>
          <w:szCs w:val="30"/>
        </w:rPr>
      </w:pPr>
      <w:r>
        <w:rPr>
          <w:rFonts w:cs="Times New Roman"/>
          <w:b/>
          <w:bCs/>
          <w:color w:val="auto"/>
          <w:sz w:val="30"/>
          <w:szCs w:val="30"/>
        </w:rPr>
        <w:fldChar w:fldCharType="begin"/>
      </w:r>
      <w:r>
        <w:rPr>
          <w:rFonts w:cs="Times New Roman"/>
          <w:b/>
          <w:bCs/>
          <w:color w:val="auto"/>
          <w:sz w:val="30"/>
          <w:szCs w:val="30"/>
        </w:rPr>
        <w:instrText xml:space="preserve"> HYPERLINK \l _Toc3268 </w:instrText>
      </w:r>
      <w:r>
        <w:rPr>
          <w:rFonts w:cs="Times New Roman"/>
          <w:b/>
          <w:bCs/>
          <w:color w:val="auto"/>
          <w:sz w:val="30"/>
          <w:szCs w:val="30"/>
        </w:rPr>
        <w:fldChar w:fldCharType="separate"/>
      </w:r>
      <w:r>
        <w:rPr>
          <w:rFonts w:hint="eastAsia" w:ascii="Times New Roman" w:hAnsi="Times New Roman" w:eastAsia="仿宋" w:cs="Times New Roman"/>
          <w:b/>
          <w:bCs/>
          <w:color w:val="auto"/>
          <w:sz w:val="30"/>
          <w:szCs w:val="30"/>
        </w:rPr>
        <w:t>7</w:t>
      </w:r>
      <w:r>
        <w:rPr>
          <w:rFonts w:ascii="Times New Roman" w:hAnsi="Times New Roman" w:eastAsia="仿宋" w:cs="Times New Roman"/>
          <w:b/>
          <w:bCs/>
          <w:color w:val="auto"/>
          <w:sz w:val="30"/>
          <w:szCs w:val="30"/>
        </w:rPr>
        <w:t>.3保护区域生物多样性，提高生态系统稳定性</w:t>
      </w:r>
      <w:r>
        <w:rPr>
          <w:b/>
          <w:bCs/>
          <w:color w:val="auto"/>
          <w:sz w:val="30"/>
          <w:szCs w:val="30"/>
        </w:rPr>
        <w:tab/>
      </w:r>
      <w:r>
        <w:rPr>
          <w:b/>
          <w:bCs/>
          <w:color w:val="auto"/>
          <w:sz w:val="30"/>
          <w:szCs w:val="30"/>
        </w:rPr>
        <w:fldChar w:fldCharType="begin"/>
      </w:r>
      <w:r>
        <w:rPr>
          <w:b/>
          <w:bCs/>
          <w:color w:val="auto"/>
          <w:sz w:val="30"/>
          <w:szCs w:val="30"/>
        </w:rPr>
        <w:instrText xml:space="preserve"> PAGEREF _Toc3268 \h </w:instrText>
      </w:r>
      <w:r>
        <w:rPr>
          <w:b/>
          <w:bCs/>
          <w:color w:val="auto"/>
          <w:sz w:val="30"/>
          <w:szCs w:val="30"/>
        </w:rPr>
        <w:fldChar w:fldCharType="separate"/>
      </w:r>
      <w:r>
        <w:rPr>
          <w:b/>
          <w:bCs/>
          <w:color w:val="auto"/>
          <w:sz w:val="30"/>
          <w:szCs w:val="30"/>
        </w:rPr>
        <w:t>85</w:t>
      </w:r>
      <w:r>
        <w:rPr>
          <w:b/>
          <w:bCs/>
          <w:color w:val="auto"/>
          <w:sz w:val="30"/>
          <w:szCs w:val="30"/>
        </w:rPr>
        <w:fldChar w:fldCharType="end"/>
      </w:r>
      <w:r>
        <w:rPr>
          <w:rFonts w:cs="Times New Roman"/>
          <w:b/>
          <w:bCs/>
          <w:color w:val="auto"/>
          <w:sz w:val="30"/>
          <w:szCs w:val="30"/>
        </w:rPr>
        <w:fldChar w:fldCharType="end"/>
      </w:r>
    </w:p>
    <w:p>
      <w:pPr>
        <w:pStyle w:val="12"/>
        <w:tabs>
          <w:tab w:val="right" w:leader="dot" w:pos="8306"/>
        </w:tabs>
        <w:rPr>
          <w:b/>
          <w:bCs/>
          <w:color w:val="auto"/>
          <w:sz w:val="30"/>
          <w:szCs w:val="30"/>
        </w:rPr>
      </w:pPr>
      <w:r>
        <w:rPr>
          <w:rFonts w:cs="Times New Roman"/>
          <w:b/>
          <w:bCs/>
          <w:color w:val="auto"/>
          <w:sz w:val="30"/>
          <w:szCs w:val="30"/>
        </w:rPr>
        <w:fldChar w:fldCharType="begin"/>
      </w:r>
      <w:r>
        <w:rPr>
          <w:rFonts w:cs="Times New Roman"/>
          <w:b/>
          <w:bCs/>
          <w:color w:val="auto"/>
          <w:sz w:val="30"/>
          <w:szCs w:val="30"/>
        </w:rPr>
        <w:instrText xml:space="preserve"> HYPERLINK \l _Toc32037 </w:instrText>
      </w:r>
      <w:r>
        <w:rPr>
          <w:rFonts w:cs="Times New Roman"/>
          <w:b/>
          <w:bCs/>
          <w:color w:val="auto"/>
          <w:sz w:val="30"/>
          <w:szCs w:val="30"/>
        </w:rPr>
        <w:fldChar w:fldCharType="separate"/>
      </w:r>
      <w:r>
        <w:rPr>
          <w:rFonts w:hint="eastAsia" w:ascii="Times New Roman" w:hAnsi="Times New Roman" w:eastAsia="仿宋" w:cs="Times New Roman"/>
          <w:b/>
          <w:bCs/>
          <w:color w:val="auto"/>
          <w:sz w:val="30"/>
          <w:szCs w:val="30"/>
        </w:rPr>
        <w:t>7</w:t>
      </w:r>
      <w:r>
        <w:rPr>
          <w:rFonts w:ascii="Times New Roman" w:hAnsi="Times New Roman" w:eastAsia="仿宋" w:cs="Times New Roman"/>
          <w:b/>
          <w:bCs/>
          <w:color w:val="auto"/>
          <w:sz w:val="30"/>
          <w:szCs w:val="30"/>
        </w:rPr>
        <w:t>.4开展城乡环境整治，打造绿色绥棱</w:t>
      </w:r>
      <w:r>
        <w:rPr>
          <w:b/>
          <w:bCs/>
          <w:color w:val="auto"/>
          <w:sz w:val="30"/>
          <w:szCs w:val="30"/>
        </w:rPr>
        <w:tab/>
      </w:r>
      <w:r>
        <w:rPr>
          <w:b/>
          <w:bCs/>
          <w:color w:val="auto"/>
          <w:sz w:val="30"/>
          <w:szCs w:val="30"/>
        </w:rPr>
        <w:fldChar w:fldCharType="begin"/>
      </w:r>
      <w:r>
        <w:rPr>
          <w:b/>
          <w:bCs/>
          <w:color w:val="auto"/>
          <w:sz w:val="30"/>
          <w:szCs w:val="30"/>
        </w:rPr>
        <w:instrText xml:space="preserve"> PAGEREF _Toc32037 \h </w:instrText>
      </w:r>
      <w:r>
        <w:rPr>
          <w:b/>
          <w:bCs/>
          <w:color w:val="auto"/>
          <w:sz w:val="30"/>
          <w:szCs w:val="30"/>
        </w:rPr>
        <w:fldChar w:fldCharType="separate"/>
      </w:r>
      <w:r>
        <w:rPr>
          <w:b/>
          <w:bCs/>
          <w:color w:val="auto"/>
          <w:sz w:val="30"/>
          <w:szCs w:val="30"/>
        </w:rPr>
        <w:t>87</w:t>
      </w:r>
      <w:r>
        <w:rPr>
          <w:b/>
          <w:bCs/>
          <w:color w:val="auto"/>
          <w:sz w:val="30"/>
          <w:szCs w:val="30"/>
        </w:rPr>
        <w:fldChar w:fldCharType="end"/>
      </w:r>
      <w:r>
        <w:rPr>
          <w:rFonts w:cs="Times New Roman"/>
          <w:b/>
          <w:bCs/>
          <w:color w:val="auto"/>
          <w:sz w:val="30"/>
          <w:szCs w:val="30"/>
        </w:rPr>
        <w:fldChar w:fldCharType="end"/>
      </w:r>
    </w:p>
    <w:p>
      <w:pPr>
        <w:pStyle w:val="12"/>
        <w:tabs>
          <w:tab w:val="right" w:leader="dot" w:pos="8306"/>
        </w:tabs>
        <w:rPr>
          <w:b/>
          <w:bCs/>
          <w:color w:val="auto"/>
          <w:sz w:val="30"/>
          <w:szCs w:val="30"/>
        </w:rPr>
      </w:pPr>
      <w:r>
        <w:rPr>
          <w:rFonts w:cs="Times New Roman"/>
          <w:b/>
          <w:bCs/>
          <w:color w:val="auto"/>
          <w:sz w:val="30"/>
          <w:szCs w:val="30"/>
        </w:rPr>
        <w:fldChar w:fldCharType="begin"/>
      </w:r>
      <w:r>
        <w:rPr>
          <w:rFonts w:cs="Times New Roman"/>
          <w:b/>
          <w:bCs/>
          <w:color w:val="auto"/>
          <w:sz w:val="30"/>
          <w:szCs w:val="30"/>
        </w:rPr>
        <w:instrText xml:space="preserve"> HYPERLINK \l _Toc9241 </w:instrText>
      </w:r>
      <w:r>
        <w:rPr>
          <w:rFonts w:cs="Times New Roman"/>
          <w:b/>
          <w:bCs/>
          <w:color w:val="auto"/>
          <w:sz w:val="30"/>
          <w:szCs w:val="30"/>
        </w:rPr>
        <w:fldChar w:fldCharType="separate"/>
      </w:r>
      <w:r>
        <w:rPr>
          <w:rFonts w:hint="eastAsia" w:ascii="Times New Roman" w:hAnsi="Times New Roman" w:eastAsia="仿宋" w:cs="Times New Roman"/>
          <w:b/>
          <w:bCs/>
          <w:color w:val="auto"/>
          <w:sz w:val="30"/>
          <w:szCs w:val="30"/>
        </w:rPr>
        <w:t>7</w:t>
      </w:r>
      <w:r>
        <w:rPr>
          <w:rFonts w:ascii="Times New Roman" w:hAnsi="Times New Roman" w:eastAsia="仿宋" w:cs="Times New Roman"/>
          <w:b/>
          <w:bCs/>
          <w:color w:val="auto"/>
          <w:sz w:val="30"/>
          <w:szCs w:val="30"/>
        </w:rPr>
        <w:t>.</w:t>
      </w:r>
      <w:r>
        <w:rPr>
          <w:rFonts w:hint="eastAsia" w:ascii="Times New Roman" w:hAnsi="Times New Roman" w:eastAsia="仿宋" w:cs="Times New Roman"/>
          <w:b/>
          <w:bCs/>
          <w:color w:val="auto"/>
          <w:sz w:val="30"/>
          <w:szCs w:val="30"/>
        </w:rPr>
        <w:t>5有序开展固废污染防治工作，促进固废综合利用</w:t>
      </w:r>
      <w:r>
        <w:rPr>
          <w:b/>
          <w:bCs/>
          <w:color w:val="auto"/>
          <w:sz w:val="30"/>
          <w:szCs w:val="30"/>
        </w:rPr>
        <w:tab/>
      </w:r>
      <w:r>
        <w:rPr>
          <w:b/>
          <w:bCs/>
          <w:color w:val="auto"/>
          <w:sz w:val="30"/>
          <w:szCs w:val="30"/>
        </w:rPr>
        <w:fldChar w:fldCharType="begin"/>
      </w:r>
      <w:r>
        <w:rPr>
          <w:b/>
          <w:bCs/>
          <w:color w:val="auto"/>
          <w:sz w:val="30"/>
          <w:szCs w:val="30"/>
        </w:rPr>
        <w:instrText xml:space="preserve"> PAGEREF _Toc9241 \h </w:instrText>
      </w:r>
      <w:r>
        <w:rPr>
          <w:b/>
          <w:bCs/>
          <w:color w:val="auto"/>
          <w:sz w:val="30"/>
          <w:szCs w:val="30"/>
        </w:rPr>
        <w:fldChar w:fldCharType="separate"/>
      </w:r>
      <w:r>
        <w:rPr>
          <w:b/>
          <w:bCs/>
          <w:color w:val="auto"/>
          <w:sz w:val="30"/>
          <w:szCs w:val="30"/>
        </w:rPr>
        <w:t>89</w:t>
      </w:r>
      <w:r>
        <w:rPr>
          <w:b/>
          <w:bCs/>
          <w:color w:val="auto"/>
          <w:sz w:val="30"/>
          <w:szCs w:val="30"/>
        </w:rPr>
        <w:fldChar w:fldCharType="end"/>
      </w:r>
      <w:r>
        <w:rPr>
          <w:rFonts w:cs="Times New Roman"/>
          <w:b/>
          <w:bCs/>
          <w:color w:val="auto"/>
          <w:sz w:val="30"/>
          <w:szCs w:val="30"/>
        </w:rPr>
        <w:fldChar w:fldCharType="end"/>
      </w:r>
    </w:p>
    <w:p>
      <w:pPr>
        <w:pStyle w:val="10"/>
        <w:tabs>
          <w:tab w:val="right" w:leader="dot" w:pos="8306"/>
        </w:tabs>
        <w:rPr>
          <w:b/>
          <w:bCs/>
          <w:color w:val="auto"/>
          <w:sz w:val="30"/>
          <w:szCs w:val="30"/>
        </w:rPr>
      </w:pPr>
      <w:r>
        <w:rPr>
          <w:rFonts w:cs="Times New Roman"/>
          <w:b/>
          <w:bCs/>
          <w:color w:val="auto"/>
          <w:sz w:val="30"/>
          <w:szCs w:val="30"/>
        </w:rPr>
        <w:fldChar w:fldCharType="begin"/>
      </w:r>
      <w:r>
        <w:rPr>
          <w:rFonts w:cs="Times New Roman"/>
          <w:b/>
          <w:bCs/>
          <w:color w:val="auto"/>
          <w:sz w:val="30"/>
          <w:szCs w:val="30"/>
        </w:rPr>
        <w:instrText xml:space="preserve"> HYPERLINK \l _Toc21990 </w:instrText>
      </w:r>
      <w:r>
        <w:rPr>
          <w:rFonts w:cs="Times New Roman"/>
          <w:b/>
          <w:bCs/>
          <w:color w:val="auto"/>
          <w:sz w:val="30"/>
          <w:szCs w:val="30"/>
        </w:rPr>
        <w:fldChar w:fldCharType="separate"/>
      </w:r>
      <w:r>
        <w:rPr>
          <w:rFonts w:ascii="Times New Roman" w:hAnsi="Times New Roman" w:eastAsia="仿宋"/>
          <w:b/>
          <w:bCs/>
          <w:color w:val="auto"/>
          <w:sz w:val="30"/>
          <w:szCs w:val="30"/>
        </w:rPr>
        <w:t>8</w:t>
      </w:r>
      <w:r>
        <w:rPr>
          <w:rFonts w:hint="default" w:ascii="Times New Roman" w:hAnsi="Times New Roman" w:eastAsia="仿宋"/>
          <w:b/>
          <w:bCs/>
          <w:color w:val="auto"/>
          <w:sz w:val="30"/>
          <w:szCs w:val="30"/>
        </w:rPr>
        <w:t xml:space="preserve"> 重点工程</w:t>
      </w:r>
      <w:r>
        <w:rPr>
          <w:b/>
          <w:bCs/>
          <w:color w:val="auto"/>
          <w:sz w:val="30"/>
          <w:szCs w:val="30"/>
        </w:rPr>
        <w:tab/>
      </w:r>
      <w:r>
        <w:rPr>
          <w:b/>
          <w:bCs/>
          <w:color w:val="auto"/>
          <w:sz w:val="30"/>
          <w:szCs w:val="30"/>
        </w:rPr>
        <w:fldChar w:fldCharType="begin"/>
      </w:r>
      <w:r>
        <w:rPr>
          <w:b/>
          <w:bCs/>
          <w:color w:val="auto"/>
          <w:sz w:val="30"/>
          <w:szCs w:val="30"/>
        </w:rPr>
        <w:instrText xml:space="preserve"> PAGEREF _Toc21990 \h </w:instrText>
      </w:r>
      <w:r>
        <w:rPr>
          <w:b/>
          <w:bCs/>
          <w:color w:val="auto"/>
          <w:sz w:val="30"/>
          <w:szCs w:val="30"/>
        </w:rPr>
        <w:fldChar w:fldCharType="separate"/>
      </w:r>
      <w:r>
        <w:rPr>
          <w:b/>
          <w:bCs/>
          <w:color w:val="auto"/>
          <w:sz w:val="30"/>
          <w:szCs w:val="30"/>
        </w:rPr>
        <w:t>92</w:t>
      </w:r>
      <w:r>
        <w:rPr>
          <w:b/>
          <w:bCs/>
          <w:color w:val="auto"/>
          <w:sz w:val="30"/>
          <w:szCs w:val="30"/>
        </w:rPr>
        <w:fldChar w:fldCharType="end"/>
      </w:r>
      <w:r>
        <w:rPr>
          <w:rFonts w:cs="Times New Roman"/>
          <w:b/>
          <w:bCs/>
          <w:color w:val="auto"/>
          <w:sz w:val="30"/>
          <w:szCs w:val="30"/>
        </w:rPr>
        <w:fldChar w:fldCharType="end"/>
      </w:r>
    </w:p>
    <w:p>
      <w:pPr>
        <w:pStyle w:val="10"/>
        <w:tabs>
          <w:tab w:val="right" w:leader="dot" w:pos="8306"/>
        </w:tabs>
        <w:rPr>
          <w:b/>
          <w:bCs/>
          <w:color w:val="auto"/>
          <w:sz w:val="30"/>
          <w:szCs w:val="30"/>
        </w:rPr>
      </w:pPr>
      <w:r>
        <w:rPr>
          <w:rFonts w:cs="Times New Roman"/>
          <w:b/>
          <w:bCs/>
          <w:color w:val="auto"/>
          <w:sz w:val="30"/>
          <w:szCs w:val="30"/>
        </w:rPr>
        <w:fldChar w:fldCharType="begin"/>
      </w:r>
      <w:r>
        <w:rPr>
          <w:rFonts w:cs="Times New Roman"/>
          <w:b/>
          <w:bCs/>
          <w:color w:val="auto"/>
          <w:sz w:val="30"/>
          <w:szCs w:val="30"/>
        </w:rPr>
        <w:instrText xml:space="preserve"> HYPERLINK \l _Toc24494 </w:instrText>
      </w:r>
      <w:r>
        <w:rPr>
          <w:rFonts w:cs="Times New Roman"/>
          <w:b/>
          <w:bCs/>
          <w:color w:val="auto"/>
          <w:sz w:val="30"/>
          <w:szCs w:val="30"/>
        </w:rPr>
        <w:fldChar w:fldCharType="separate"/>
      </w:r>
      <w:r>
        <w:rPr>
          <w:rFonts w:ascii="Times New Roman" w:hAnsi="Times New Roman" w:eastAsia="仿宋"/>
          <w:b/>
          <w:bCs/>
          <w:color w:val="auto"/>
          <w:sz w:val="30"/>
          <w:szCs w:val="30"/>
        </w:rPr>
        <w:t>9</w:t>
      </w:r>
      <w:r>
        <w:rPr>
          <w:rFonts w:hint="default" w:ascii="Times New Roman" w:hAnsi="Times New Roman" w:eastAsia="仿宋"/>
          <w:b/>
          <w:bCs/>
          <w:color w:val="auto"/>
          <w:sz w:val="30"/>
          <w:szCs w:val="30"/>
        </w:rPr>
        <w:t xml:space="preserve"> 投资估算</w:t>
      </w:r>
      <w:r>
        <w:rPr>
          <w:b/>
          <w:bCs/>
          <w:color w:val="auto"/>
          <w:sz w:val="30"/>
          <w:szCs w:val="30"/>
        </w:rPr>
        <w:tab/>
      </w:r>
      <w:r>
        <w:rPr>
          <w:b/>
          <w:bCs/>
          <w:color w:val="auto"/>
          <w:sz w:val="30"/>
          <w:szCs w:val="30"/>
        </w:rPr>
        <w:fldChar w:fldCharType="begin"/>
      </w:r>
      <w:r>
        <w:rPr>
          <w:b/>
          <w:bCs/>
          <w:color w:val="auto"/>
          <w:sz w:val="30"/>
          <w:szCs w:val="30"/>
        </w:rPr>
        <w:instrText xml:space="preserve"> PAGEREF _Toc24494 \h </w:instrText>
      </w:r>
      <w:r>
        <w:rPr>
          <w:b/>
          <w:bCs/>
          <w:color w:val="auto"/>
          <w:sz w:val="30"/>
          <w:szCs w:val="30"/>
        </w:rPr>
        <w:fldChar w:fldCharType="separate"/>
      </w:r>
      <w:r>
        <w:rPr>
          <w:b/>
          <w:bCs/>
          <w:color w:val="auto"/>
          <w:sz w:val="30"/>
          <w:szCs w:val="30"/>
        </w:rPr>
        <w:t>98</w:t>
      </w:r>
      <w:r>
        <w:rPr>
          <w:b/>
          <w:bCs/>
          <w:color w:val="auto"/>
          <w:sz w:val="30"/>
          <w:szCs w:val="30"/>
        </w:rPr>
        <w:fldChar w:fldCharType="end"/>
      </w:r>
      <w:r>
        <w:rPr>
          <w:rFonts w:cs="Times New Roman"/>
          <w:b/>
          <w:bCs/>
          <w:color w:val="auto"/>
          <w:sz w:val="30"/>
          <w:szCs w:val="30"/>
        </w:rPr>
        <w:fldChar w:fldCharType="end"/>
      </w:r>
    </w:p>
    <w:p>
      <w:pPr>
        <w:pStyle w:val="12"/>
        <w:tabs>
          <w:tab w:val="right" w:leader="dot" w:pos="8306"/>
        </w:tabs>
        <w:rPr>
          <w:b/>
          <w:bCs/>
          <w:color w:val="auto"/>
          <w:sz w:val="30"/>
          <w:szCs w:val="30"/>
        </w:rPr>
      </w:pPr>
      <w:r>
        <w:rPr>
          <w:rFonts w:cs="Times New Roman"/>
          <w:b/>
          <w:bCs/>
          <w:color w:val="auto"/>
          <w:sz w:val="30"/>
          <w:szCs w:val="30"/>
        </w:rPr>
        <w:fldChar w:fldCharType="begin"/>
      </w:r>
      <w:r>
        <w:rPr>
          <w:rFonts w:cs="Times New Roman"/>
          <w:b/>
          <w:bCs/>
          <w:color w:val="auto"/>
          <w:sz w:val="30"/>
          <w:szCs w:val="30"/>
        </w:rPr>
        <w:instrText xml:space="preserve"> HYPERLINK \l _Toc27449 </w:instrText>
      </w:r>
      <w:r>
        <w:rPr>
          <w:rFonts w:cs="Times New Roman"/>
          <w:b/>
          <w:bCs/>
          <w:color w:val="auto"/>
          <w:sz w:val="30"/>
          <w:szCs w:val="30"/>
        </w:rPr>
        <w:fldChar w:fldCharType="separate"/>
      </w:r>
      <w:r>
        <w:rPr>
          <w:rFonts w:hint="eastAsia" w:ascii="Times New Roman" w:hAnsi="Times New Roman" w:eastAsia="仿宋" w:cs="Times New Roman"/>
          <w:b/>
          <w:bCs/>
          <w:color w:val="auto"/>
          <w:sz w:val="30"/>
          <w:szCs w:val="30"/>
        </w:rPr>
        <w:t>9</w:t>
      </w:r>
      <w:r>
        <w:rPr>
          <w:rFonts w:ascii="Times New Roman" w:hAnsi="Times New Roman" w:eastAsia="仿宋" w:cs="Times New Roman"/>
          <w:b/>
          <w:bCs/>
          <w:color w:val="auto"/>
          <w:sz w:val="30"/>
          <w:szCs w:val="30"/>
        </w:rPr>
        <w:t>.1资金预算</w:t>
      </w:r>
      <w:r>
        <w:rPr>
          <w:b/>
          <w:bCs/>
          <w:color w:val="auto"/>
          <w:sz w:val="30"/>
          <w:szCs w:val="30"/>
        </w:rPr>
        <w:tab/>
      </w:r>
      <w:r>
        <w:rPr>
          <w:b/>
          <w:bCs/>
          <w:color w:val="auto"/>
          <w:sz w:val="30"/>
          <w:szCs w:val="30"/>
        </w:rPr>
        <w:fldChar w:fldCharType="begin"/>
      </w:r>
      <w:r>
        <w:rPr>
          <w:b/>
          <w:bCs/>
          <w:color w:val="auto"/>
          <w:sz w:val="30"/>
          <w:szCs w:val="30"/>
        </w:rPr>
        <w:instrText xml:space="preserve"> PAGEREF _Toc27449 \h </w:instrText>
      </w:r>
      <w:r>
        <w:rPr>
          <w:b/>
          <w:bCs/>
          <w:color w:val="auto"/>
          <w:sz w:val="30"/>
          <w:szCs w:val="30"/>
        </w:rPr>
        <w:fldChar w:fldCharType="separate"/>
      </w:r>
      <w:r>
        <w:rPr>
          <w:b/>
          <w:bCs/>
          <w:color w:val="auto"/>
          <w:sz w:val="30"/>
          <w:szCs w:val="30"/>
        </w:rPr>
        <w:t>98</w:t>
      </w:r>
      <w:r>
        <w:rPr>
          <w:b/>
          <w:bCs/>
          <w:color w:val="auto"/>
          <w:sz w:val="30"/>
          <w:szCs w:val="30"/>
        </w:rPr>
        <w:fldChar w:fldCharType="end"/>
      </w:r>
      <w:r>
        <w:rPr>
          <w:rFonts w:cs="Times New Roman"/>
          <w:b/>
          <w:bCs/>
          <w:color w:val="auto"/>
          <w:sz w:val="30"/>
          <w:szCs w:val="30"/>
        </w:rPr>
        <w:fldChar w:fldCharType="end"/>
      </w:r>
    </w:p>
    <w:p>
      <w:pPr>
        <w:pStyle w:val="12"/>
        <w:tabs>
          <w:tab w:val="right" w:leader="dot" w:pos="8306"/>
        </w:tabs>
        <w:rPr>
          <w:b/>
          <w:bCs/>
          <w:color w:val="auto"/>
          <w:sz w:val="30"/>
          <w:szCs w:val="30"/>
        </w:rPr>
      </w:pPr>
      <w:r>
        <w:rPr>
          <w:rFonts w:cs="Times New Roman"/>
          <w:b/>
          <w:bCs/>
          <w:color w:val="auto"/>
          <w:sz w:val="30"/>
          <w:szCs w:val="30"/>
        </w:rPr>
        <w:fldChar w:fldCharType="begin"/>
      </w:r>
      <w:r>
        <w:rPr>
          <w:rFonts w:cs="Times New Roman"/>
          <w:b/>
          <w:bCs/>
          <w:color w:val="auto"/>
          <w:sz w:val="30"/>
          <w:szCs w:val="30"/>
        </w:rPr>
        <w:instrText xml:space="preserve"> HYPERLINK \l _Toc31390 </w:instrText>
      </w:r>
      <w:r>
        <w:rPr>
          <w:rFonts w:cs="Times New Roman"/>
          <w:b/>
          <w:bCs/>
          <w:color w:val="auto"/>
          <w:sz w:val="30"/>
          <w:szCs w:val="30"/>
        </w:rPr>
        <w:fldChar w:fldCharType="separate"/>
      </w:r>
      <w:r>
        <w:rPr>
          <w:rFonts w:hint="eastAsia" w:ascii="Times New Roman" w:hAnsi="Times New Roman" w:eastAsia="仿宋" w:cs="Times New Roman"/>
          <w:b/>
          <w:bCs/>
          <w:color w:val="auto"/>
          <w:sz w:val="30"/>
          <w:szCs w:val="30"/>
        </w:rPr>
        <w:t>9</w:t>
      </w:r>
      <w:r>
        <w:rPr>
          <w:rFonts w:ascii="Times New Roman" w:hAnsi="Times New Roman" w:eastAsia="仿宋" w:cs="Times New Roman"/>
          <w:b/>
          <w:bCs/>
          <w:color w:val="auto"/>
          <w:sz w:val="30"/>
          <w:szCs w:val="30"/>
        </w:rPr>
        <w:t>.2资金来源</w:t>
      </w:r>
      <w:r>
        <w:rPr>
          <w:b/>
          <w:bCs/>
          <w:color w:val="auto"/>
          <w:sz w:val="30"/>
          <w:szCs w:val="30"/>
        </w:rPr>
        <w:tab/>
      </w:r>
      <w:r>
        <w:rPr>
          <w:b/>
          <w:bCs/>
          <w:color w:val="auto"/>
          <w:sz w:val="30"/>
          <w:szCs w:val="30"/>
        </w:rPr>
        <w:fldChar w:fldCharType="begin"/>
      </w:r>
      <w:r>
        <w:rPr>
          <w:b/>
          <w:bCs/>
          <w:color w:val="auto"/>
          <w:sz w:val="30"/>
          <w:szCs w:val="30"/>
        </w:rPr>
        <w:instrText xml:space="preserve"> PAGEREF _Toc31390 \h </w:instrText>
      </w:r>
      <w:r>
        <w:rPr>
          <w:b/>
          <w:bCs/>
          <w:color w:val="auto"/>
          <w:sz w:val="30"/>
          <w:szCs w:val="30"/>
        </w:rPr>
        <w:fldChar w:fldCharType="separate"/>
      </w:r>
      <w:r>
        <w:rPr>
          <w:b/>
          <w:bCs/>
          <w:color w:val="auto"/>
          <w:sz w:val="30"/>
          <w:szCs w:val="30"/>
        </w:rPr>
        <w:t>99</w:t>
      </w:r>
      <w:r>
        <w:rPr>
          <w:b/>
          <w:bCs/>
          <w:color w:val="auto"/>
          <w:sz w:val="30"/>
          <w:szCs w:val="30"/>
        </w:rPr>
        <w:fldChar w:fldCharType="end"/>
      </w:r>
      <w:r>
        <w:rPr>
          <w:rFonts w:cs="Times New Roman"/>
          <w:b/>
          <w:bCs/>
          <w:color w:val="auto"/>
          <w:sz w:val="30"/>
          <w:szCs w:val="30"/>
        </w:rPr>
        <w:fldChar w:fldCharType="end"/>
      </w:r>
    </w:p>
    <w:p>
      <w:pPr>
        <w:pStyle w:val="10"/>
        <w:tabs>
          <w:tab w:val="right" w:leader="dot" w:pos="8306"/>
        </w:tabs>
        <w:rPr>
          <w:b/>
          <w:bCs/>
          <w:color w:val="auto"/>
          <w:sz w:val="30"/>
          <w:szCs w:val="30"/>
        </w:rPr>
      </w:pPr>
      <w:r>
        <w:rPr>
          <w:rFonts w:cs="Times New Roman"/>
          <w:b/>
          <w:bCs/>
          <w:color w:val="auto"/>
          <w:sz w:val="30"/>
          <w:szCs w:val="30"/>
        </w:rPr>
        <w:fldChar w:fldCharType="begin"/>
      </w:r>
      <w:r>
        <w:rPr>
          <w:rFonts w:cs="Times New Roman"/>
          <w:b/>
          <w:bCs/>
          <w:color w:val="auto"/>
          <w:sz w:val="30"/>
          <w:szCs w:val="30"/>
        </w:rPr>
        <w:instrText xml:space="preserve"> HYPERLINK \l _Toc28750 </w:instrText>
      </w:r>
      <w:r>
        <w:rPr>
          <w:rFonts w:cs="Times New Roman"/>
          <w:b/>
          <w:bCs/>
          <w:color w:val="auto"/>
          <w:sz w:val="30"/>
          <w:szCs w:val="30"/>
        </w:rPr>
        <w:fldChar w:fldCharType="separate"/>
      </w:r>
      <w:r>
        <w:rPr>
          <w:rFonts w:ascii="Times New Roman" w:hAnsi="Times New Roman" w:eastAsia="仿宋"/>
          <w:b/>
          <w:bCs/>
          <w:color w:val="auto"/>
          <w:sz w:val="30"/>
          <w:szCs w:val="30"/>
        </w:rPr>
        <w:t>10</w:t>
      </w:r>
      <w:r>
        <w:rPr>
          <w:rFonts w:hint="default" w:ascii="Times New Roman" w:hAnsi="Times New Roman" w:eastAsia="仿宋"/>
          <w:b/>
          <w:bCs/>
          <w:color w:val="auto"/>
          <w:sz w:val="30"/>
          <w:szCs w:val="30"/>
        </w:rPr>
        <w:t xml:space="preserve"> 规划实施效益</w:t>
      </w:r>
      <w:r>
        <w:rPr>
          <w:b/>
          <w:bCs/>
          <w:color w:val="auto"/>
          <w:sz w:val="30"/>
          <w:szCs w:val="30"/>
        </w:rPr>
        <w:tab/>
      </w:r>
      <w:r>
        <w:rPr>
          <w:b/>
          <w:bCs/>
          <w:color w:val="auto"/>
          <w:sz w:val="30"/>
          <w:szCs w:val="30"/>
        </w:rPr>
        <w:fldChar w:fldCharType="begin"/>
      </w:r>
      <w:r>
        <w:rPr>
          <w:b/>
          <w:bCs/>
          <w:color w:val="auto"/>
          <w:sz w:val="30"/>
          <w:szCs w:val="30"/>
        </w:rPr>
        <w:instrText xml:space="preserve"> PAGEREF _Toc28750 \h </w:instrText>
      </w:r>
      <w:r>
        <w:rPr>
          <w:b/>
          <w:bCs/>
          <w:color w:val="auto"/>
          <w:sz w:val="30"/>
          <w:szCs w:val="30"/>
        </w:rPr>
        <w:fldChar w:fldCharType="separate"/>
      </w:r>
      <w:r>
        <w:rPr>
          <w:b/>
          <w:bCs/>
          <w:color w:val="auto"/>
          <w:sz w:val="30"/>
          <w:szCs w:val="30"/>
        </w:rPr>
        <w:t>101</w:t>
      </w:r>
      <w:r>
        <w:rPr>
          <w:b/>
          <w:bCs/>
          <w:color w:val="auto"/>
          <w:sz w:val="30"/>
          <w:szCs w:val="30"/>
        </w:rPr>
        <w:fldChar w:fldCharType="end"/>
      </w:r>
      <w:r>
        <w:rPr>
          <w:rFonts w:cs="Times New Roman"/>
          <w:b/>
          <w:bCs/>
          <w:color w:val="auto"/>
          <w:sz w:val="30"/>
          <w:szCs w:val="30"/>
        </w:rPr>
        <w:fldChar w:fldCharType="end"/>
      </w:r>
    </w:p>
    <w:p>
      <w:pPr>
        <w:pStyle w:val="12"/>
        <w:tabs>
          <w:tab w:val="right" w:leader="dot" w:pos="8306"/>
        </w:tabs>
        <w:rPr>
          <w:b/>
          <w:bCs/>
          <w:color w:val="auto"/>
          <w:sz w:val="30"/>
          <w:szCs w:val="30"/>
        </w:rPr>
      </w:pPr>
      <w:r>
        <w:rPr>
          <w:rFonts w:cs="Times New Roman"/>
          <w:b/>
          <w:bCs/>
          <w:color w:val="auto"/>
          <w:sz w:val="30"/>
          <w:szCs w:val="30"/>
        </w:rPr>
        <w:fldChar w:fldCharType="begin"/>
      </w:r>
      <w:r>
        <w:rPr>
          <w:rFonts w:cs="Times New Roman"/>
          <w:b/>
          <w:bCs/>
          <w:color w:val="auto"/>
          <w:sz w:val="30"/>
          <w:szCs w:val="30"/>
        </w:rPr>
        <w:instrText xml:space="preserve"> HYPERLINK \l _Toc13778 </w:instrText>
      </w:r>
      <w:r>
        <w:rPr>
          <w:rFonts w:cs="Times New Roman"/>
          <w:b/>
          <w:bCs/>
          <w:color w:val="auto"/>
          <w:sz w:val="30"/>
          <w:szCs w:val="30"/>
        </w:rPr>
        <w:fldChar w:fldCharType="separate"/>
      </w:r>
      <w:r>
        <w:rPr>
          <w:rFonts w:hint="eastAsia" w:ascii="Times New Roman" w:hAnsi="Times New Roman" w:eastAsia="仿宋" w:cs="Times New Roman"/>
          <w:b/>
          <w:bCs/>
          <w:color w:val="auto"/>
          <w:sz w:val="30"/>
          <w:szCs w:val="30"/>
        </w:rPr>
        <w:t>10</w:t>
      </w:r>
      <w:r>
        <w:rPr>
          <w:rFonts w:ascii="Times New Roman" w:hAnsi="Times New Roman" w:eastAsia="仿宋" w:cs="Times New Roman"/>
          <w:b/>
          <w:bCs/>
          <w:color w:val="auto"/>
          <w:sz w:val="30"/>
          <w:szCs w:val="30"/>
        </w:rPr>
        <w:t>.1生态效益</w:t>
      </w:r>
      <w:r>
        <w:rPr>
          <w:b/>
          <w:bCs/>
          <w:color w:val="auto"/>
          <w:sz w:val="30"/>
          <w:szCs w:val="30"/>
        </w:rPr>
        <w:tab/>
      </w:r>
      <w:r>
        <w:rPr>
          <w:b/>
          <w:bCs/>
          <w:color w:val="auto"/>
          <w:sz w:val="30"/>
          <w:szCs w:val="30"/>
        </w:rPr>
        <w:fldChar w:fldCharType="begin"/>
      </w:r>
      <w:r>
        <w:rPr>
          <w:b/>
          <w:bCs/>
          <w:color w:val="auto"/>
          <w:sz w:val="30"/>
          <w:szCs w:val="30"/>
        </w:rPr>
        <w:instrText xml:space="preserve"> PAGEREF _Toc13778 \h </w:instrText>
      </w:r>
      <w:r>
        <w:rPr>
          <w:b/>
          <w:bCs/>
          <w:color w:val="auto"/>
          <w:sz w:val="30"/>
          <w:szCs w:val="30"/>
        </w:rPr>
        <w:fldChar w:fldCharType="separate"/>
      </w:r>
      <w:r>
        <w:rPr>
          <w:b/>
          <w:bCs/>
          <w:color w:val="auto"/>
          <w:sz w:val="30"/>
          <w:szCs w:val="30"/>
        </w:rPr>
        <w:t>101</w:t>
      </w:r>
      <w:r>
        <w:rPr>
          <w:b/>
          <w:bCs/>
          <w:color w:val="auto"/>
          <w:sz w:val="30"/>
          <w:szCs w:val="30"/>
        </w:rPr>
        <w:fldChar w:fldCharType="end"/>
      </w:r>
      <w:r>
        <w:rPr>
          <w:rFonts w:cs="Times New Roman"/>
          <w:b/>
          <w:bCs/>
          <w:color w:val="auto"/>
          <w:sz w:val="30"/>
          <w:szCs w:val="30"/>
        </w:rPr>
        <w:fldChar w:fldCharType="end"/>
      </w:r>
    </w:p>
    <w:p>
      <w:pPr>
        <w:pStyle w:val="12"/>
        <w:tabs>
          <w:tab w:val="right" w:leader="dot" w:pos="8306"/>
        </w:tabs>
        <w:rPr>
          <w:b/>
          <w:bCs/>
          <w:color w:val="auto"/>
          <w:sz w:val="30"/>
          <w:szCs w:val="30"/>
        </w:rPr>
      </w:pPr>
      <w:r>
        <w:rPr>
          <w:rFonts w:cs="Times New Roman"/>
          <w:b/>
          <w:bCs/>
          <w:color w:val="auto"/>
          <w:sz w:val="30"/>
          <w:szCs w:val="30"/>
        </w:rPr>
        <w:fldChar w:fldCharType="begin"/>
      </w:r>
      <w:r>
        <w:rPr>
          <w:rFonts w:cs="Times New Roman"/>
          <w:b/>
          <w:bCs/>
          <w:color w:val="auto"/>
          <w:sz w:val="30"/>
          <w:szCs w:val="30"/>
        </w:rPr>
        <w:instrText xml:space="preserve"> HYPERLINK \l _Toc31484 </w:instrText>
      </w:r>
      <w:r>
        <w:rPr>
          <w:rFonts w:cs="Times New Roman"/>
          <w:b/>
          <w:bCs/>
          <w:color w:val="auto"/>
          <w:sz w:val="30"/>
          <w:szCs w:val="30"/>
        </w:rPr>
        <w:fldChar w:fldCharType="separate"/>
      </w:r>
      <w:r>
        <w:rPr>
          <w:rFonts w:hint="eastAsia" w:ascii="Times New Roman" w:hAnsi="Times New Roman" w:eastAsia="仿宋" w:cs="Times New Roman"/>
          <w:b/>
          <w:bCs/>
          <w:color w:val="auto"/>
          <w:sz w:val="30"/>
          <w:szCs w:val="30"/>
        </w:rPr>
        <w:t>10</w:t>
      </w:r>
      <w:r>
        <w:rPr>
          <w:rFonts w:ascii="Times New Roman" w:hAnsi="Times New Roman" w:eastAsia="仿宋" w:cs="Times New Roman"/>
          <w:b/>
          <w:bCs/>
          <w:color w:val="auto"/>
          <w:sz w:val="30"/>
          <w:szCs w:val="30"/>
        </w:rPr>
        <w:t>.2社会效益</w:t>
      </w:r>
      <w:r>
        <w:rPr>
          <w:b/>
          <w:bCs/>
          <w:color w:val="auto"/>
          <w:sz w:val="30"/>
          <w:szCs w:val="30"/>
        </w:rPr>
        <w:tab/>
      </w:r>
      <w:r>
        <w:rPr>
          <w:b/>
          <w:bCs/>
          <w:color w:val="auto"/>
          <w:sz w:val="30"/>
          <w:szCs w:val="30"/>
        </w:rPr>
        <w:fldChar w:fldCharType="begin"/>
      </w:r>
      <w:r>
        <w:rPr>
          <w:b/>
          <w:bCs/>
          <w:color w:val="auto"/>
          <w:sz w:val="30"/>
          <w:szCs w:val="30"/>
        </w:rPr>
        <w:instrText xml:space="preserve"> PAGEREF _Toc31484 \h </w:instrText>
      </w:r>
      <w:r>
        <w:rPr>
          <w:b/>
          <w:bCs/>
          <w:color w:val="auto"/>
          <w:sz w:val="30"/>
          <w:szCs w:val="30"/>
        </w:rPr>
        <w:fldChar w:fldCharType="separate"/>
      </w:r>
      <w:r>
        <w:rPr>
          <w:b/>
          <w:bCs/>
          <w:color w:val="auto"/>
          <w:sz w:val="30"/>
          <w:szCs w:val="30"/>
        </w:rPr>
        <w:t>101</w:t>
      </w:r>
      <w:r>
        <w:rPr>
          <w:b/>
          <w:bCs/>
          <w:color w:val="auto"/>
          <w:sz w:val="30"/>
          <w:szCs w:val="30"/>
        </w:rPr>
        <w:fldChar w:fldCharType="end"/>
      </w:r>
      <w:r>
        <w:rPr>
          <w:rFonts w:cs="Times New Roman"/>
          <w:b/>
          <w:bCs/>
          <w:color w:val="auto"/>
          <w:sz w:val="30"/>
          <w:szCs w:val="30"/>
        </w:rPr>
        <w:fldChar w:fldCharType="end"/>
      </w:r>
    </w:p>
    <w:p>
      <w:pPr>
        <w:pStyle w:val="12"/>
        <w:tabs>
          <w:tab w:val="right" w:leader="dot" w:pos="8306"/>
        </w:tabs>
        <w:rPr>
          <w:b/>
          <w:bCs/>
          <w:color w:val="auto"/>
          <w:sz w:val="30"/>
          <w:szCs w:val="30"/>
        </w:rPr>
      </w:pPr>
      <w:r>
        <w:rPr>
          <w:rFonts w:cs="Times New Roman"/>
          <w:b/>
          <w:bCs/>
          <w:color w:val="auto"/>
          <w:sz w:val="30"/>
          <w:szCs w:val="30"/>
        </w:rPr>
        <w:fldChar w:fldCharType="begin"/>
      </w:r>
      <w:r>
        <w:rPr>
          <w:rFonts w:cs="Times New Roman"/>
          <w:b/>
          <w:bCs/>
          <w:color w:val="auto"/>
          <w:sz w:val="30"/>
          <w:szCs w:val="30"/>
        </w:rPr>
        <w:instrText xml:space="preserve"> HYPERLINK \l _Toc3598 </w:instrText>
      </w:r>
      <w:r>
        <w:rPr>
          <w:rFonts w:cs="Times New Roman"/>
          <w:b/>
          <w:bCs/>
          <w:color w:val="auto"/>
          <w:sz w:val="30"/>
          <w:szCs w:val="30"/>
        </w:rPr>
        <w:fldChar w:fldCharType="separate"/>
      </w:r>
      <w:r>
        <w:rPr>
          <w:rFonts w:hint="eastAsia" w:ascii="Times New Roman" w:hAnsi="Times New Roman" w:eastAsia="仿宋" w:cs="Times New Roman"/>
          <w:b/>
          <w:bCs/>
          <w:color w:val="auto"/>
          <w:sz w:val="30"/>
          <w:szCs w:val="30"/>
        </w:rPr>
        <w:t>10</w:t>
      </w:r>
      <w:r>
        <w:rPr>
          <w:rFonts w:ascii="Times New Roman" w:hAnsi="Times New Roman" w:eastAsia="仿宋" w:cs="Times New Roman"/>
          <w:b/>
          <w:bCs/>
          <w:color w:val="auto"/>
          <w:sz w:val="30"/>
          <w:szCs w:val="30"/>
        </w:rPr>
        <w:t>.3经济效益</w:t>
      </w:r>
      <w:r>
        <w:rPr>
          <w:b/>
          <w:bCs/>
          <w:color w:val="auto"/>
          <w:sz w:val="30"/>
          <w:szCs w:val="30"/>
        </w:rPr>
        <w:tab/>
      </w:r>
      <w:r>
        <w:rPr>
          <w:b/>
          <w:bCs/>
          <w:color w:val="auto"/>
          <w:sz w:val="30"/>
          <w:szCs w:val="30"/>
        </w:rPr>
        <w:fldChar w:fldCharType="begin"/>
      </w:r>
      <w:r>
        <w:rPr>
          <w:b/>
          <w:bCs/>
          <w:color w:val="auto"/>
          <w:sz w:val="30"/>
          <w:szCs w:val="30"/>
        </w:rPr>
        <w:instrText xml:space="preserve"> PAGEREF _Toc3598 \h </w:instrText>
      </w:r>
      <w:r>
        <w:rPr>
          <w:b/>
          <w:bCs/>
          <w:color w:val="auto"/>
          <w:sz w:val="30"/>
          <w:szCs w:val="30"/>
        </w:rPr>
        <w:fldChar w:fldCharType="separate"/>
      </w:r>
      <w:r>
        <w:rPr>
          <w:b/>
          <w:bCs/>
          <w:color w:val="auto"/>
          <w:sz w:val="30"/>
          <w:szCs w:val="30"/>
        </w:rPr>
        <w:t>102</w:t>
      </w:r>
      <w:r>
        <w:rPr>
          <w:b/>
          <w:bCs/>
          <w:color w:val="auto"/>
          <w:sz w:val="30"/>
          <w:szCs w:val="30"/>
        </w:rPr>
        <w:fldChar w:fldCharType="end"/>
      </w:r>
      <w:r>
        <w:rPr>
          <w:rFonts w:cs="Times New Roman"/>
          <w:b/>
          <w:bCs/>
          <w:color w:val="auto"/>
          <w:sz w:val="30"/>
          <w:szCs w:val="30"/>
        </w:rPr>
        <w:fldChar w:fldCharType="end"/>
      </w:r>
    </w:p>
    <w:p>
      <w:pPr>
        <w:pStyle w:val="10"/>
        <w:tabs>
          <w:tab w:val="right" w:leader="dot" w:pos="8306"/>
        </w:tabs>
        <w:rPr>
          <w:b/>
          <w:bCs/>
          <w:color w:val="auto"/>
          <w:sz w:val="30"/>
          <w:szCs w:val="30"/>
        </w:rPr>
      </w:pPr>
      <w:r>
        <w:rPr>
          <w:rFonts w:cs="Times New Roman"/>
          <w:b/>
          <w:bCs/>
          <w:color w:val="auto"/>
          <w:sz w:val="30"/>
          <w:szCs w:val="30"/>
        </w:rPr>
        <w:fldChar w:fldCharType="begin"/>
      </w:r>
      <w:r>
        <w:rPr>
          <w:rFonts w:cs="Times New Roman"/>
          <w:b/>
          <w:bCs/>
          <w:color w:val="auto"/>
          <w:sz w:val="30"/>
          <w:szCs w:val="30"/>
        </w:rPr>
        <w:instrText xml:space="preserve"> HYPERLINK \l _Toc534 </w:instrText>
      </w:r>
      <w:r>
        <w:rPr>
          <w:rFonts w:cs="Times New Roman"/>
          <w:b/>
          <w:bCs/>
          <w:color w:val="auto"/>
          <w:sz w:val="30"/>
          <w:szCs w:val="30"/>
        </w:rPr>
        <w:fldChar w:fldCharType="separate"/>
      </w:r>
      <w:r>
        <w:rPr>
          <w:rFonts w:hint="default" w:ascii="Times New Roman" w:hAnsi="Times New Roman" w:eastAsia="仿宋"/>
          <w:b/>
          <w:bCs/>
          <w:color w:val="auto"/>
          <w:sz w:val="30"/>
          <w:szCs w:val="30"/>
        </w:rPr>
        <w:t>1</w:t>
      </w:r>
      <w:r>
        <w:rPr>
          <w:rFonts w:ascii="Times New Roman" w:hAnsi="Times New Roman" w:eastAsia="仿宋"/>
          <w:b/>
          <w:bCs/>
          <w:color w:val="auto"/>
          <w:sz w:val="30"/>
          <w:szCs w:val="30"/>
        </w:rPr>
        <w:t>1</w:t>
      </w:r>
      <w:r>
        <w:rPr>
          <w:rFonts w:hint="default" w:ascii="Times New Roman" w:hAnsi="Times New Roman" w:eastAsia="仿宋"/>
          <w:b/>
          <w:bCs/>
          <w:color w:val="auto"/>
          <w:sz w:val="30"/>
          <w:szCs w:val="30"/>
        </w:rPr>
        <w:t xml:space="preserve"> 保障措施</w:t>
      </w:r>
      <w:r>
        <w:rPr>
          <w:b/>
          <w:bCs/>
          <w:color w:val="auto"/>
          <w:sz w:val="30"/>
          <w:szCs w:val="30"/>
        </w:rPr>
        <w:tab/>
      </w:r>
      <w:r>
        <w:rPr>
          <w:b/>
          <w:bCs/>
          <w:color w:val="auto"/>
          <w:sz w:val="30"/>
          <w:szCs w:val="30"/>
        </w:rPr>
        <w:fldChar w:fldCharType="begin"/>
      </w:r>
      <w:r>
        <w:rPr>
          <w:b/>
          <w:bCs/>
          <w:color w:val="auto"/>
          <w:sz w:val="30"/>
          <w:szCs w:val="30"/>
        </w:rPr>
        <w:instrText xml:space="preserve"> PAGEREF _Toc534 \h </w:instrText>
      </w:r>
      <w:r>
        <w:rPr>
          <w:b/>
          <w:bCs/>
          <w:color w:val="auto"/>
          <w:sz w:val="30"/>
          <w:szCs w:val="30"/>
        </w:rPr>
        <w:fldChar w:fldCharType="separate"/>
      </w:r>
      <w:r>
        <w:rPr>
          <w:b/>
          <w:bCs/>
          <w:color w:val="auto"/>
          <w:sz w:val="30"/>
          <w:szCs w:val="30"/>
        </w:rPr>
        <w:t>104</w:t>
      </w:r>
      <w:r>
        <w:rPr>
          <w:b/>
          <w:bCs/>
          <w:color w:val="auto"/>
          <w:sz w:val="30"/>
          <w:szCs w:val="30"/>
        </w:rPr>
        <w:fldChar w:fldCharType="end"/>
      </w:r>
      <w:r>
        <w:rPr>
          <w:rFonts w:cs="Times New Roman"/>
          <w:b/>
          <w:bCs/>
          <w:color w:val="auto"/>
          <w:sz w:val="30"/>
          <w:szCs w:val="30"/>
        </w:rPr>
        <w:fldChar w:fldCharType="end"/>
      </w:r>
    </w:p>
    <w:p>
      <w:pPr>
        <w:pStyle w:val="12"/>
        <w:tabs>
          <w:tab w:val="right" w:leader="dot" w:pos="8306"/>
        </w:tabs>
        <w:rPr>
          <w:b/>
          <w:bCs/>
          <w:color w:val="auto"/>
          <w:sz w:val="30"/>
          <w:szCs w:val="30"/>
        </w:rPr>
      </w:pPr>
      <w:r>
        <w:rPr>
          <w:rFonts w:cs="Times New Roman"/>
          <w:b/>
          <w:bCs/>
          <w:color w:val="auto"/>
          <w:sz w:val="30"/>
          <w:szCs w:val="30"/>
        </w:rPr>
        <w:fldChar w:fldCharType="begin"/>
      </w:r>
      <w:r>
        <w:rPr>
          <w:rFonts w:cs="Times New Roman"/>
          <w:b/>
          <w:bCs/>
          <w:color w:val="auto"/>
          <w:sz w:val="30"/>
          <w:szCs w:val="30"/>
        </w:rPr>
        <w:instrText xml:space="preserve"> HYPERLINK \l _Toc24435 </w:instrText>
      </w:r>
      <w:r>
        <w:rPr>
          <w:rFonts w:cs="Times New Roman"/>
          <w:b/>
          <w:bCs/>
          <w:color w:val="auto"/>
          <w:sz w:val="30"/>
          <w:szCs w:val="30"/>
        </w:rPr>
        <w:fldChar w:fldCharType="separate"/>
      </w:r>
      <w:r>
        <w:rPr>
          <w:rFonts w:hint="eastAsia" w:ascii="Times New Roman" w:hAnsi="Times New Roman" w:eastAsia="仿宋" w:cs="Times New Roman"/>
          <w:b/>
          <w:bCs/>
          <w:color w:val="auto"/>
          <w:sz w:val="30"/>
          <w:szCs w:val="30"/>
        </w:rPr>
        <w:t>11</w:t>
      </w:r>
      <w:r>
        <w:rPr>
          <w:rFonts w:ascii="Times New Roman" w:hAnsi="Times New Roman" w:eastAsia="仿宋" w:cs="Times New Roman"/>
          <w:b/>
          <w:bCs/>
          <w:color w:val="auto"/>
          <w:sz w:val="30"/>
          <w:szCs w:val="30"/>
        </w:rPr>
        <w:t>.1 加强组织领导</w:t>
      </w:r>
      <w:r>
        <w:rPr>
          <w:b/>
          <w:bCs/>
          <w:color w:val="auto"/>
          <w:sz w:val="30"/>
          <w:szCs w:val="30"/>
        </w:rPr>
        <w:tab/>
      </w:r>
      <w:r>
        <w:rPr>
          <w:b/>
          <w:bCs/>
          <w:color w:val="auto"/>
          <w:sz w:val="30"/>
          <w:szCs w:val="30"/>
        </w:rPr>
        <w:fldChar w:fldCharType="begin"/>
      </w:r>
      <w:r>
        <w:rPr>
          <w:b/>
          <w:bCs/>
          <w:color w:val="auto"/>
          <w:sz w:val="30"/>
          <w:szCs w:val="30"/>
        </w:rPr>
        <w:instrText xml:space="preserve"> PAGEREF _Toc24435 \h </w:instrText>
      </w:r>
      <w:r>
        <w:rPr>
          <w:b/>
          <w:bCs/>
          <w:color w:val="auto"/>
          <w:sz w:val="30"/>
          <w:szCs w:val="30"/>
        </w:rPr>
        <w:fldChar w:fldCharType="separate"/>
      </w:r>
      <w:r>
        <w:rPr>
          <w:b/>
          <w:bCs/>
          <w:color w:val="auto"/>
          <w:sz w:val="30"/>
          <w:szCs w:val="30"/>
        </w:rPr>
        <w:t>104</w:t>
      </w:r>
      <w:r>
        <w:rPr>
          <w:b/>
          <w:bCs/>
          <w:color w:val="auto"/>
          <w:sz w:val="30"/>
          <w:szCs w:val="30"/>
        </w:rPr>
        <w:fldChar w:fldCharType="end"/>
      </w:r>
      <w:r>
        <w:rPr>
          <w:rFonts w:cs="Times New Roman"/>
          <w:b/>
          <w:bCs/>
          <w:color w:val="auto"/>
          <w:sz w:val="30"/>
          <w:szCs w:val="30"/>
        </w:rPr>
        <w:fldChar w:fldCharType="end"/>
      </w:r>
    </w:p>
    <w:p>
      <w:pPr>
        <w:pStyle w:val="12"/>
        <w:tabs>
          <w:tab w:val="right" w:leader="dot" w:pos="8306"/>
        </w:tabs>
        <w:rPr>
          <w:b/>
          <w:bCs/>
          <w:color w:val="auto"/>
          <w:sz w:val="30"/>
          <w:szCs w:val="30"/>
        </w:rPr>
      </w:pPr>
      <w:r>
        <w:rPr>
          <w:rFonts w:cs="Times New Roman"/>
          <w:b/>
          <w:bCs/>
          <w:color w:val="auto"/>
          <w:sz w:val="30"/>
          <w:szCs w:val="30"/>
        </w:rPr>
        <w:fldChar w:fldCharType="begin"/>
      </w:r>
      <w:r>
        <w:rPr>
          <w:rFonts w:cs="Times New Roman"/>
          <w:b/>
          <w:bCs/>
          <w:color w:val="auto"/>
          <w:sz w:val="30"/>
          <w:szCs w:val="30"/>
        </w:rPr>
        <w:instrText xml:space="preserve"> HYPERLINK \l _Toc5999 </w:instrText>
      </w:r>
      <w:r>
        <w:rPr>
          <w:rFonts w:cs="Times New Roman"/>
          <w:b/>
          <w:bCs/>
          <w:color w:val="auto"/>
          <w:sz w:val="30"/>
          <w:szCs w:val="30"/>
        </w:rPr>
        <w:fldChar w:fldCharType="separate"/>
      </w:r>
      <w:r>
        <w:rPr>
          <w:rFonts w:hint="eastAsia" w:ascii="Times New Roman" w:hAnsi="Times New Roman" w:eastAsia="仿宋" w:cs="Times New Roman"/>
          <w:b/>
          <w:bCs/>
          <w:color w:val="auto"/>
          <w:sz w:val="30"/>
          <w:szCs w:val="30"/>
        </w:rPr>
        <w:t>11.2 强化制度保障</w:t>
      </w:r>
      <w:r>
        <w:rPr>
          <w:b/>
          <w:bCs/>
          <w:color w:val="auto"/>
          <w:sz w:val="30"/>
          <w:szCs w:val="30"/>
        </w:rPr>
        <w:tab/>
      </w:r>
      <w:r>
        <w:rPr>
          <w:b/>
          <w:bCs/>
          <w:color w:val="auto"/>
          <w:sz w:val="30"/>
          <w:szCs w:val="30"/>
        </w:rPr>
        <w:fldChar w:fldCharType="begin"/>
      </w:r>
      <w:r>
        <w:rPr>
          <w:b/>
          <w:bCs/>
          <w:color w:val="auto"/>
          <w:sz w:val="30"/>
          <w:szCs w:val="30"/>
        </w:rPr>
        <w:instrText xml:space="preserve"> PAGEREF _Toc5999 \h </w:instrText>
      </w:r>
      <w:r>
        <w:rPr>
          <w:b/>
          <w:bCs/>
          <w:color w:val="auto"/>
          <w:sz w:val="30"/>
          <w:szCs w:val="30"/>
        </w:rPr>
        <w:fldChar w:fldCharType="separate"/>
      </w:r>
      <w:r>
        <w:rPr>
          <w:b/>
          <w:bCs/>
          <w:color w:val="auto"/>
          <w:sz w:val="30"/>
          <w:szCs w:val="30"/>
        </w:rPr>
        <w:t>104</w:t>
      </w:r>
      <w:r>
        <w:rPr>
          <w:b/>
          <w:bCs/>
          <w:color w:val="auto"/>
          <w:sz w:val="30"/>
          <w:szCs w:val="30"/>
        </w:rPr>
        <w:fldChar w:fldCharType="end"/>
      </w:r>
      <w:r>
        <w:rPr>
          <w:rFonts w:cs="Times New Roman"/>
          <w:b/>
          <w:bCs/>
          <w:color w:val="auto"/>
          <w:sz w:val="30"/>
          <w:szCs w:val="30"/>
        </w:rPr>
        <w:fldChar w:fldCharType="end"/>
      </w:r>
    </w:p>
    <w:p>
      <w:pPr>
        <w:pStyle w:val="12"/>
        <w:tabs>
          <w:tab w:val="right" w:leader="dot" w:pos="8306"/>
        </w:tabs>
        <w:rPr>
          <w:b/>
          <w:bCs/>
          <w:color w:val="auto"/>
          <w:sz w:val="30"/>
          <w:szCs w:val="30"/>
        </w:rPr>
      </w:pPr>
      <w:r>
        <w:rPr>
          <w:rFonts w:cs="Times New Roman"/>
          <w:b/>
          <w:bCs/>
          <w:color w:val="auto"/>
          <w:sz w:val="30"/>
          <w:szCs w:val="30"/>
        </w:rPr>
        <w:fldChar w:fldCharType="begin"/>
      </w:r>
      <w:r>
        <w:rPr>
          <w:rFonts w:cs="Times New Roman"/>
          <w:b/>
          <w:bCs/>
          <w:color w:val="auto"/>
          <w:sz w:val="30"/>
          <w:szCs w:val="30"/>
        </w:rPr>
        <w:instrText xml:space="preserve"> HYPERLINK \l _Toc18932 </w:instrText>
      </w:r>
      <w:r>
        <w:rPr>
          <w:rFonts w:cs="Times New Roman"/>
          <w:b/>
          <w:bCs/>
          <w:color w:val="auto"/>
          <w:sz w:val="30"/>
          <w:szCs w:val="30"/>
        </w:rPr>
        <w:fldChar w:fldCharType="separate"/>
      </w:r>
      <w:r>
        <w:rPr>
          <w:rFonts w:ascii="Times New Roman" w:hAnsi="Times New Roman" w:eastAsia="仿宋" w:cs="Times New Roman"/>
          <w:b/>
          <w:bCs/>
          <w:color w:val="auto"/>
          <w:sz w:val="30"/>
          <w:szCs w:val="30"/>
        </w:rPr>
        <w:t>1</w:t>
      </w:r>
      <w:r>
        <w:rPr>
          <w:rFonts w:hint="eastAsia" w:ascii="Times New Roman" w:hAnsi="Times New Roman" w:eastAsia="仿宋" w:cs="Times New Roman"/>
          <w:b/>
          <w:bCs/>
          <w:color w:val="auto"/>
          <w:sz w:val="30"/>
          <w:szCs w:val="30"/>
        </w:rPr>
        <w:t>1</w:t>
      </w:r>
      <w:r>
        <w:rPr>
          <w:rFonts w:ascii="Times New Roman" w:hAnsi="Times New Roman" w:eastAsia="仿宋" w:cs="Times New Roman"/>
          <w:b/>
          <w:bCs/>
          <w:color w:val="auto"/>
          <w:sz w:val="30"/>
          <w:szCs w:val="30"/>
        </w:rPr>
        <w:t>.3 完善技术支撑</w:t>
      </w:r>
      <w:r>
        <w:rPr>
          <w:b/>
          <w:bCs/>
          <w:color w:val="auto"/>
          <w:sz w:val="30"/>
          <w:szCs w:val="30"/>
        </w:rPr>
        <w:tab/>
      </w:r>
      <w:r>
        <w:rPr>
          <w:b/>
          <w:bCs/>
          <w:color w:val="auto"/>
          <w:sz w:val="30"/>
          <w:szCs w:val="30"/>
        </w:rPr>
        <w:fldChar w:fldCharType="begin"/>
      </w:r>
      <w:r>
        <w:rPr>
          <w:b/>
          <w:bCs/>
          <w:color w:val="auto"/>
          <w:sz w:val="30"/>
          <w:szCs w:val="30"/>
        </w:rPr>
        <w:instrText xml:space="preserve"> PAGEREF _Toc18932 \h </w:instrText>
      </w:r>
      <w:r>
        <w:rPr>
          <w:b/>
          <w:bCs/>
          <w:color w:val="auto"/>
          <w:sz w:val="30"/>
          <w:szCs w:val="30"/>
        </w:rPr>
        <w:fldChar w:fldCharType="separate"/>
      </w:r>
      <w:r>
        <w:rPr>
          <w:b/>
          <w:bCs/>
          <w:color w:val="auto"/>
          <w:sz w:val="30"/>
          <w:szCs w:val="30"/>
        </w:rPr>
        <w:t>104</w:t>
      </w:r>
      <w:r>
        <w:rPr>
          <w:b/>
          <w:bCs/>
          <w:color w:val="auto"/>
          <w:sz w:val="30"/>
          <w:szCs w:val="30"/>
        </w:rPr>
        <w:fldChar w:fldCharType="end"/>
      </w:r>
      <w:r>
        <w:rPr>
          <w:rFonts w:cs="Times New Roman"/>
          <w:b/>
          <w:bCs/>
          <w:color w:val="auto"/>
          <w:sz w:val="30"/>
          <w:szCs w:val="30"/>
        </w:rPr>
        <w:fldChar w:fldCharType="end"/>
      </w:r>
    </w:p>
    <w:p>
      <w:pPr>
        <w:pStyle w:val="12"/>
        <w:tabs>
          <w:tab w:val="right" w:leader="dot" w:pos="8306"/>
        </w:tabs>
        <w:rPr>
          <w:b/>
          <w:bCs/>
          <w:color w:val="auto"/>
          <w:sz w:val="30"/>
          <w:szCs w:val="30"/>
        </w:rPr>
      </w:pPr>
      <w:r>
        <w:rPr>
          <w:rFonts w:cs="Times New Roman"/>
          <w:b/>
          <w:bCs/>
          <w:color w:val="auto"/>
          <w:sz w:val="30"/>
          <w:szCs w:val="30"/>
        </w:rPr>
        <w:fldChar w:fldCharType="begin"/>
      </w:r>
      <w:r>
        <w:rPr>
          <w:rFonts w:cs="Times New Roman"/>
          <w:b/>
          <w:bCs/>
          <w:color w:val="auto"/>
          <w:sz w:val="30"/>
          <w:szCs w:val="30"/>
        </w:rPr>
        <w:instrText xml:space="preserve"> HYPERLINK \l _Toc751 </w:instrText>
      </w:r>
      <w:r>
        <w:rPr>
          <w:rFonts w:cs="Times New Roman"/>
          <w:b/>
          <w:bCs/>
          <w:color w:val="auto"/>
          <w:sz w:val="30"/>
          <w:szCs w:val="30"/>
        </w:rPr>
        <w:fldChar w:fldCharType="separate"/>
      </w:r>
      <w:r>
        <w:rPr>
          <w:rFonts w:hint="eastAsia" w:ascii="Times New Roman" w:hAnsi="Times New Roman" w:eastAsia="仿宋" w:cs="Times New Roman"/>
          <w:b/>
          <w:bCs/>
          <w:color w:val="auto"/>
          <w:sz w:val="30"/>
          <w:szCs w:val="30"/>
        </w:rPr>
        <w:t>11.4 落实资金投入</w:t>
      </w:r>
      <w:r>
        <w:rPr>
          <w:b/>
          <w:bCs/>
          <w:color w:val="auto"/>
          <w:sz w:val="30"/>
          <w:szCs w:val="30"/>
        </w:rPr>
        <w:tab/>
      </w:r>
      <w:r>
        <w:rPr>
          <w:b/>
          <w:bCs/>
          <w:color w:val="auto"/>
          <w:sz w:val="30"/>
          <w:szCs w:val="30"/>
        </w:rPr>
        <w:fldChar w:fldCharType="begin"/>
      </w:r>
      <w:r>
        <w:rPr>
          <w:b/>
          <w:bCs/>
          <w:color w:val="auto"/>
          <w:sz w:val="30"/>
          <w:szCs w:val="30"/>
        </w:rPr>
        <w:instrText xml:space="preserve"> PAGEREF _Toc751 \h </w:instrText>
      </w:r>
      <w:r>
        <w:rPr>
          <w:b/>
          <w:bCs/>
          <w:color w:val="auto"/>
          <w:sz w:val="30"/>
          <w:szCs w:val="30"/>
        </w:rPr>
        <w:fldChar w:fldCharType="separate"/>
      </w:r>
      <w:r>
        <w:rPr>
          <w:b/>
          <w:bCs/>
          <w:color w:val="auto"/>
          <w:sz w:val="30"/>
          <w:szCs w:val="30"/>
        </w:rPr>
        <w:t>105</w:t>
      </w:r>
      <w:r>
        <w:rPr>
          <w:b/>
          <w:bCs/>
          <w:color w:val="auto"/>
          <w:sz w:val="30"/>
          <w:szCs w:val="30"/>
        </w:rPr>
        <w:fldChar w:fldCharType="end"/>
      </w:r>
      <w:r>
        <w:rPr>
          <w:rFonts w:cs="Times New Roman"/>
          <w:b/>
          <w:bCs/>
          <w:color w:val="auto"/>
          <w:sz w:val="30"/>
          <w:szCs w:val="30"/>
        </w:rPr>
        <w:fldChar w:fldCharType="end"/>
      </w:r>
    </w:p>
    <w:p>
      <w:pPr>
        <w:pStyle w:val="12"/>
        <w:tabs>
          <w:tab w:val="right" w:leader="dot" w:pos="8306"/>
        </w:tabs>
        <w:rPr>
          <w:b/>
          <w:bCs/>
          <w:color w:val="auto"/>
          <w:sz w:val="30"/>
          <w:szCs w:val="30"/>
        </w:rPr>
      </w:pPr>
      <w:r>
        <w:rPr>
          <w:rFonts w:cs="Times New Roman"/>
          <w:b/>
          <w:bCs/>
          <w:color w:val="auto"/>
          <w:sz w:val="30"/>
          <w:szCs w:val="30"/>
        </w:rPr>
        <w:fldChar w:fldCharType="begin"/>
      </w:r>
      <w:r>
        <w:rPr>
          <w:rFonts w:cs="Times New Roman"/>
          <w:b/>
          <w:bCs/>
          <w:color w:val="auto"/>
          <w:sz w:val="30"/>
          <w:szCs w:val="30"/>
        </w:rPr>
        <w:instrText xml:space="preserve"> HYPERLINK \l _Toc1679 </w:instrText>
      </w:r>
      <w:r>
        <w:rPr>
          <w:rFonts w:cs="Times New Roman"/>
          <w:b/>
          <w:bCs/>
          <w:color w:val="auto"/>
          <w:sz w:val="30"/>
          <w:szCs w:val="30"/>
        </w:rPr>
        <w:fldChar w:fldCharType="separate"/>
      </w:r>
      <w:r>
        <w:rPr>
          <w:rFonts w:hint="eastAsia" w:ascii="Times New Roman" w:hAnsi="Times New Roman" w:eastAsia="仿宋" w:cs="Times New Roman"/>
          <w:b/>
          <w:bCs/>
          <w:color w:val="auto"/>
          <w:sz w:val="30"/>
          <w:szCs w:val="30"/>
        </w:rPr>
        <w:t>11.5 严格评估监管</w:t>
      </w:r>
      <w:r>
        <w:rPr>
          <w:b/>
          <w:bCs/>
          <w:color w:val="auto"/>
          <w:sz w:val="30"/>
          <w:szCs w:val="30"/>
        </w:rPr>
        <w:tab/>
      </w:r>
      <w:r>
        <w:rPr>
          <w:b/>
          <w:bCs/>
          <w:color w:val="auto"/>
          <w:sz w:val="30"/>
          <w:szCs w:val="30"/>
        </w:rPr>
        <w:fldChar w:fldCharType="begin"/>
      </w:r>
      <w:r>
        <w:rPr>
          <w:b/>
          <w:bCs/>
          <w:color w:val="auto"/>
          <w:sz w:val="30"/>
          <w:szCs w:val="30"/>
        </w:rPr>
        <w:instrText xml:space="preserve"> PAGEREF _Toc1679 \h </w:instrText>
      </w:r>
      <w:r>
        <w:rPr>
          <w:b/>
          <w:bCs/>
          <w:color w:val="auto"/>
          <w:sz w:val="30"/>
          <w:szCs w:val="30"/>
        </w:rPr>
        <w:fldChar w:fldCharType="separate"/>
      </w:r>
      <w:r>
        <w:rPr>
          <w:b/>
          <w:bCs/>
          <w:color w:val="auto"/>
          <w:sz w:val="30"/>
          <w:szCs w:val="30"/>
        </w:rPr>
        <w:t>106</w:t>
      </w:r>
      <w:r>
        <w:rPr>
          <w:b/>
          <w:bCs/>
          <w:color w:val="auto"/>
          <w:sz w:val="30"/>
          <w:szCs w:val="30"/>
        </w:rPr>
        <w:fldChar w:fldCharType="end"/>
      </w:r>
      <w:r>
        <w:rPr>
          <w:rFonts w:cs="Times New Roman"/>
          <w:b/>
          <w:bCs/>
          <w:color w:val="auto"/>
          <w:sz w:val="30"/>
          <w:szCs w:val="30"/>
        </w:rPr>
        <w:fldChar w:fldCharType="end"/>
      </w:r>
    </w:p>
    <w:p>
      <w:pPr>
        <w:pStyle w:val="12"/>
        <w:tabs>
          <w:tab w:val="right" w:leader="dot" w:pos="8306"/>
        </w:tabs>
        <w:rPr>
          <w:b/>
          <w:bCs/>
          <w:color w:val="auto"/>
          <w:sz w:val="30"/>
          <w:szCs w:val="30"/>
        </w:rPr>
      </w:pPr>
      <w:r>
        <w:rPr>
          <w:rFonts w:cs="Times New Roman"/>
          <w:b/>
          <w:bCs/>
          <w:color w:val="auto"/>
          <w:sz w:val="30"/>
          <w:szCs w:val="30"/>
        </w:rPr>
        <w:fldChar w:fldCharType="begin"/>
      </w:r>
      <w:r>
        <w:rPr>
          <w:rFonts w:cs="Times New Roman"/>
          <w:b/>
          <w:bCs/>
          <w:color w:val="auto"/>
          <w:sz w:val="30"/>
          <w:szCs w:val="30"/>
        </w:rPr>
        <w:instrText xml:space="preserve"> HYPERLINK \l _Toc20330 </w:instrText>
      </w:r>
      <w:r>
        <w:rPr>
          <w:rFonts w:cs="Times New Roman"/>
          <w:b/>
          <w:bCs/>
          <w:color w:val="auto"/>
          <w:sz w:val="30"/>
          <w:szCs w:val="30"/>
        </w:rPr>
        <w:fldChar w:fldCharType="separate"/>
      </w:r>
      <w:r>
        <w:rPr>
          <w:rFonts w:hint="eastAsia" w:ascii="Times New Roman" w:hAnsi="Times New Roman" w:eastAsia="仿宋" w:cs="Times New Roman"/>
          <w:b/>
          <w:bCs/>
          <w:color w:val="auto"/>
          <w:sz w:val="30"/>
          <w:szCs w:val="30"/>
        </w:rPr>
        <w:t>11.6 做好宣传引导</w:t>
      </w:r>
      <w:r>
        <w:rPr>
          <w:b/>
          <w:bCs/>
          <w:color w:val="auto"/>
          <w:sz w:val="30"/>
          <w:szCs w:val="30"/>
        </w:rPr>
        <w:tab/>
      </w:r>
      <w:r>
        <w:rPr>
          <w:b/>
          <w:bCs/>
          <w:color w:val="auto"/>
          <w:sz w:val="30"/>
          <w:szCs w:val="30"/>
        </w:rPr>
        <w:fldChar w:fldCharType="begin"/>
      </w:r>
      <w:r>
        <w:rPr>
          <w:b/>
          <w:bCs/>
          <w:color w:val="auto"/>
          <w:sz w:val="30"/>
          <w:szCs w:val="30"/>
        </w:rPr>
        <w:instrText xml:space="preserve"> PAGEREF _Toc20330 \h </w:instrText>
      </w:r>
      <w:r>
        <w:rPr>
          <w:b/>
          <w:bCs/>
          <w:color w:val="auto"/>
          <w:sz w:val="30"/>
          <w:szCs w:val="30"/>
        </w:rPr>
        <w:fldChar w:fldCharType="separate"/>
      </w:r>
      <w:r>
        <w:rPr>
          <w:b/>
          <w:bCs/>
          <w:color w:val="auto"/>
          <w:sz w:val="30"/>
          <w:szCs w:val="30"/>
        </w:rPr>
        <w:t>106</w:t>
      </w:r>
      <w:r>
        <w:rPr>
          <w:b/>
          <w:bCs/>
          <w:color w:val="auto"/>
          <w:sz w:val="30"/>
          <w:szCs w:val="30"/>
        </w:rPr>
        <w:fldChar w:fldCharType="end"/>
      </w:r>
      <w:r>
        <w:rPr>
          <w:rFonts w:cs="Times New Roman"/>
          <w:b/>
          <w:bCs/>
          <w:color w:val="auto"/>
          <w:sz w:val="30"/>
          <w:szCs w:val="30"/>
        </w:rPr>
        <w:fldChar w:fldCharType="end"/>
      </w:r>
    </w:p>
    <w:p>
      <w:pPr>
        <w:pStyle w:val="12"/>
        <w:tabs>
          <w:tab w:val="right" w:leader="dot" w:pos="8306"/>
        </w:tabs>
        <w:rPr>
          <w:b/>
          <w:bCs/>
          <w:color w:val="auto"/>
          <w:sz w:val="30"/>
          <w:szCs w:val="30"/>
        </w:rPr>
      </w:pPr>
      <w:r>
        <w:rPr>
          <w:rFonts w:cs="Times New Roman"/>
          <w:b/>
          <w:bCs/>
          <w:color w:val="auto"/>
          <w:sz w:val="30"/>
          <w:szCs w:val="30"/>
        </w:rPr>
        <w:fldChar w:fldCharType="begin"/>
      </w:r>
      <w:r>
        <w:rPr>
          <w:rFonts w:cs="Times New Roman"/>
          <w:b/>
          <w:bCs/>
          <w:color w:val="auto"/>
          <w:sz w:val="30"/>
          <w:szCs w:val="30"/>
        </w:rPr>
        <w:instrText xml:space="preserve"> HYPERLINK \l _Toc6995 </w:instrText>
      </w:r>
      <w:r>
        <w:rPr>
          <w:rFonts w:cs="Times New Roman"/>
          <w:b/>
          <w:bCs/>
          <w:color w:val="auto"/>
          <w:sz w:val="30"/>
          <w:szCs w:val="30"/>
        </w:rPr>
        <w:fldChar w:fldCharType="separate"/>
      </w:r>
      <w:r>
        <w:rPr>
          <w:rFonts w:hint="eastAsia" w:ascii="Times New Roman" w:hAnsi="Times New Roman" w:eastAsia="仿宋" w:cs="Times New Roman"/>
          <w:b/>
          <w:bCs/>
          <w:color w:val="auto"/>
          <w:sz w:val="30"/>
          <w:szCs w:val="30"/>
        </w:rPr>
        <w:t>附图1 行政区划图</w:t>
      </w:r>
      <w:r>
        <w:rPr>
          <w:b/>
          <w:bCs/>
          <w:color w:val="auto"/>
          <w:sz w:val="30"/>
          <w:szCs w:val="30"/>
        </w:rPr>
        <w:tab/>
      </w:r>
      <w:r>
        <w:rPr>
          <w:b/>
          <w:bCs/>
          <w:color w:val="auto"/>
          <w:sz w:val="30"/>
          <w:szCs w:val="30"/>
        </w:rPr>
        <w:fldChar w:fldCharType="begin"/>
      </w:r>
      <w:r>
        <w:rPr>
          <w:b/>
          <w:bCs/>
          <w:color w:val="auto"/>
          <w:sz w:val="30"/>
          <w:szCs w:val="30"/>
        </w:rPr>
        <w:instrText xml:space="preserve"> PAGEREF _Toc6995 \h </w:instrText>
      </w:r>
      <w:r>
        <w:rPr>
          <w:b/>
          <w:bCs/>
          <w:color w:val="auto"/>
          <w:sz w:val="30"/>
          <w:szCs w:val="30"/>
        </w:rPr>
        <w:fldChar w:fldCharType="separate"/>
      </w:r>
      <w:r>
        <w:rPr>
          <w:b/>
          <w:bCs/>
          <w:color w:val="auto"/>
          <w:sz w:val="30"/>
          <w:szCs w:val="30"/>
        </w:rPr>
        <w:t>107</w:t>
      </w:r>
      <w:r>
        <w:rPr>
          <w:b/>
          <w:bCs/>
          <w:color w:val="auto"/>
          <w:sz w:val="30"/>
          <w:szCs w:val="30"/>
        </w:rPr>
        <w:fldChar w:fldCharType="end"/>
      </w:r>
      <w:r>
        <w:rPr>
          <w:rFonts w:cs="Times New Roman"/>
          <w:b/>
          <w:bCs/>
          <w:color w:val="auto"/>
          <w:sz w:val="30"/>
          <w:szCs w:val="30"/>
        </w:rPr>
        <w:fldChar w:fldCharType="end"/>
      </w:r>
    </w:p>
    <w:p>
      <w:pPr>
        <w:pStyle w:val="12"/>
        <w:tabs>
          <w:tab w:val="right" w:leader="dot" w:pos="8306"/>
        </w:tabs>
        <w:rPr>
          <w:b/>
          <w:bCs/>
          <w:color w:val="auto"/>
          <w:sz w:val="30"/>
          <w:szCs w:val="30"/>
        </w:rPr>
      </w:pPr>
      <w:r>
        <w:rPr>
          <w:rFonts w:cs="Times New Roman"/>
          <w:b/>
          <w:bCs/>
          <w:color w:val="auto"/>
          <w:sz w:val="30"/>
          <w:szCs w:val="30"/>
        </w:rPr>
        <w:fldChar w:fldCharType="begin"/>
      </w:r>
      <w:r>
        <w:rPr>
          <w:rFonts w:cs="Times New Roman"/>
          <w:b/>
          <w:bCs/>
          <w:color w:val="auto"/>
          <w:sz w:val="30"/>
          <w:szCs w:val="30"/>
        </w:rPr>
        <w:instrText xml:space="preserve"> HYPERLINK \l _Toc7962 </w:instrText>
      </w:r>
      <w:r>
        <w:rPr>
          <w:rFonts w:cs="Times New Roman"/>
          <w:b/>
          <w:bCs/>
          <w:color w:val="auto"/>
          <w:sz w:val="30"/>
          <w:szCs w:val="30"/>
        </w:rPr>
        <w:fldChar w:fldCharType="separate"/>
      </w:r>
      <w:r>
        <w:rPr>
          <w:rFonts w:hint="eastAsia" w:ascii="Times New Roman" w:hAnsi="Times New Roman" w:eastAsia="仿宋" w:cs="Times New Roman"/>
          <w:b/>
          <w:bCs/>
          <w:color w:val="auto"/>
          <w:sz w:val="30"/>
          <w:szCs w:val="30"/>
        </w:rPr>
        <w:t>附图2 绥棱县地形图</w:t>
      </w:r>
      <w:r>
        <w:rPr>
          <w:b/>
          <w:bCs/>
          <w:color w:val="auto"/>
          <w:sz w:val="30"/>
          <w:szCs w:val="30"/>
        </w:rPr>
        <w:tab/>
      </w:r>
      <w:r>
        <w:rPr>
          <w:b/>
          <w:bCs/>
          <w:color w:val="auto"/>
          <w:sz w:val="30"/>
          <w:szCs w:val="30"/>
        </w:rPr>
        <w:fldChar w:fldCharType="begin"/>
      </w:r>
      <w:r>
        <w:rPr>
          <w:b/>
          <w:bCs/>
          <w:color w:val="auto"/>
          <w:sz w:val="30"/>
          <w:szCs w:val="30"/>
        </w:rPr>
        <w:instrText xml:space="preserve"> PAGEREF _Toc7962 \h </w:instrText>
      </w:r>
      <w:r>
        <w:rPr>
          <w:b/>
          <w:bCs/>
          <w:color w:val="auto"/>
          <w:sz w:val="30"/>
          <w:szCs w:val="30"/>
        </w:rPr>
        <w:fldChar w:fldCharType="separate"/>
      </w:r>
      <w:r>
        <w:rPr>
          <w:b/>
          <w:bCs/>
          <w:color w:val="auto"/>
          <w:sz w:val="30"/>
          <w:szCs w:val="30"/>
        </w:rPr>
        <w:t>108</w:t>
      </w:r>
      <w:r>
        <w:rPr>
          <w:b/>
          <w:bCs/>
          <w:color w:val="auto"/>
          <w:sz w:val="30"/>
          <w:szCs w:val="30"/>
        </w:rPr>
        <w:fldChar w:fldCharType="end"/>
      </w:r>
      <w:r>
        <w:rPr>
          <w:rFonts w:cs="Times New Roman"/>
          <w:b/>
          <w:bCs/>
          <w:color w:val="auto"/>
          <w:sz w:val="30"/>
          <w:szCs w:val="30"/>
        </w:rPr>
        <w:fldChar w:fldCharType="end"/>
      </w:r>
    </w:p>
    <w:p>
      <w:pPr>
        <w:pStyle w:val="12"/>
        <w:tabs>
          <w:tab w:val="right" w:leader="dot" w:pos="8306"/>
        </w:tabs>
        <w:rPr>
          <w:b/>
          <w:bCs/>
          <w:color w:val="auto"/>
          <w:sz w:val="30"/>
          <w:szCs w:val="30"/>
        </w:rPr>
      </w:pPr>
      <w:r>
        <w:rPr>
          <w:rFonts w:cs="Times New Roman"/>
          <w:b/>
          <w:bCs/>
          <w:color w:val="auto"/>
          <w:sz w:val="30"/>
          <w:szCs w:val="30"/>
        </w:rPr>
        <w:fldChar w:fldCharType="begin"/>
      </w:r>
      <w:r>
        <w:rPr>
          <w:rFonts w:cs="Times New Roman"/>
          <w:b/>
          <w:bCs/>
          <w:color w:val="auto"/>
          <w:sz w:val="30"/>
          <w:szCs w:val="30"/>
        </w:rPr>
        <w:instrText xml:space="preserve"> HYPERLINK \l _Toc3183 </w:instrText>
      </w:r>
      <w:r>
        <w:rPr>
          <w:rFonts w:cs="Times New Roman"/>
          <w:b/>
          <w:bCs/>
          <w:color w:val="auto"/>
          <w:sz w:val="30"/>
          <w:szCs w:val="30"/>
        </w:rPr>
        <w:fldChar w:fldCharType="separate"/>
      </w:r>
      <w:r>
        <w:rPr>
          <w:rFonts w:hint="eastAsia" w:ascii="Times New Roman" w:hAnsi="Times New Roman" w:eastAsia="仿宋" w:cs="Times New Roman"/>
          <w:b/>
          <w:bCs/>
          <w:color w:val="auto"/>
          <w:sz w:val="30"/>
          <w:szCs w:val="30"/>
        </w:rPr>
        <w:t>附图3 绥棱县水系图</w:t>
      </w:r>
      <w:r>
        <w:rPr>
          <w:b/>
          <w:bCs/>
          <w:color w:val="auto"/>
          <w:sz w:val="30"/>
          <w:szCs w:val="30"/>
        </w:rPr>
        <w:tab/>
      </w:r>
      <w:r>
        <w:rPr>
          <w:b/>
          <w:bCs/>
          <w:color w:val="auto"/>
          <w:sz w:val="30"/>
          <w:szCs w:val="30"/>
        </w:rPr>
        <w:fldChar w:fldCharType="begin"/>
      </w:r>
      <w:r>
        <w:rPr>
          <w:b/>
          <w:bCs/>
          <w:color w:val="auto"/>
          <w:sz w:val="30"/>
          <w:szCs w:val="30"/>
        </w:rPr>
        <w:instrText xml:space="preserve"> PAGEREF _Toc3183 \h </w:instrText>
      </w:r>
      <w:r>
        <w:rPr>
          <w:b/>
          <w:bCs/>
          <w:color w:val="auto"/>
          <w:sz w:val="30"/>
          <w:szCs w:val="30"/>
        </w:rPr>
        <w:fldChar w:fldCharType="separate"/>
      </w:r>
      <w:r>
        <w:rPr>
          <w:b/>
          <w:bCs/>
          <w:color w:val="auto"/>
          <w:sz w:val="30"/>
          <w:szCs w:val="30"/>
        </w:rPr>
        <w:t>109</w:t>
      </w:r>
      <w:r>
        <w:rPr>
          <w:b/>
          <w:bCs/>
          <w:color w:val="auto"/>
          <w:sz w:val="30"/>
          <w:szCs w:val="30"/>
        </w:rPr>
        <w:fldChar w:fldCharType="end"/>
      </w:r>
      <w:r>
        <w:rPr>
          <w:rFonts w:cs="Times New Roman"/>
          <w:b/>
          <w:bCs/>
          <w:color w:val="auto"/>
          <w:sz w:val="30"/>
          <w:szCs w:val="30"/>
        </w:rPr>
        <w:fldChar w:fldCharType="end"/>
      </w:r>
    </w:p>
    <w:p>
      <w:pPr>
        <w:pStyle w:val="12"/>
        <w:tabs>
          <w:tab w:val="right" w:leader="dot" w:pos="8306"/>
        </w:tabs>
        <w:rPr>
          <w:b/>
          <w:bCs/>
          <w:color w:val="auto"/>
          <w:sz w:val="30"/>
          <w:szCs w:val="30"/>
        </w:rPr>
      </w:pPr>
      <w:r>
        <w:rPr>
          <w:rFonts w:cs="Times New Roman"/>
          <w:b/>
          <w:bCs/>
          <w:color w:val="auto"/>
          <w:sz w:val="30"/>
          <w:szCs w:val="30"/>
        </w:rPr>
        <w:fldChar w:fldCharType="begin"/>
      </w:r>
      <w:r>
        <w:rPr>
          <w:rFonts w:cs="Times New Roman"/>
          <w:b/>
          <w:bCs/>
          <w:color w:val="auto"/>
          <w:sz w:val="30"/>
          <w:szCs w:val="30"/>
        </w:rPr>
        <w:instrText xml:space="preserve"> HYPERLINK \l _Toc3299 </w:instrText>
      </w:r>
      <w:r>
        <w:rPr>
          <w:rFonts w:cs="Times New Roman"/>
          <w:b/>
          <w:bCs/>
          <w:color w:val="auto"/>
          <w:sz w:val="30"/>
          <w:szCs w:val="30"/>
        </w:rPr>
        <w:fldChar w:fldCharType="separate"/>
      </w:r>
      <w:r>
        <w:rPr>
          <w:rFonts w:hint="eastAsia" w:ascii="Times New Roman" w:hAnsi="Times New Roman" w:eastAsia="仿宋" w:cs="Times New Roman"/>
          <w:b/>
          <w:bCs/>
          <w:color w:val="auto"/>
          <w:sz w:val="30"/>
          <w:szCs w:val="30"/>
        </w:rPr>
        <w:t>附图4 绥棱县土地利用现状图</w:t>
      </w:r>
      <w:r>
        <w:rPr>
          <w:b/>
          <w:bCs/>
          <w:color w:val="auto"/>
          <w:sz w:val="30"/>
          <w:szCs w:val="30"/>
        </w:rPr>
        <w:tab/>
      </w:r>
      <w:r>
        <w:rPr>
          <w:b/>
          <w:bCs/>
          <w:color w:val="auto"/>
          <w:sz w:val="30"/>
          <w:szCs w:val="30"/>
        </w:rPr>
        <w:fldChar w:fldCharType="begin"/>
      </w:r>
      <w:r>
        <w:rPr>
          <w:b/>
          <w:bCs/>
          <w:color w:val="auto"/>
          <w:sz w:val="30"/>
          <w:szCs w:val="30"/>
        </w:rPr>
        <w:instrText xml:space="preserve"> PAGEREF _Toc3299 \h </w:instrText>
      </w:r>
      <w:r>
        <w:rPr>
          <w:b/>
          <w:bCs/>
          <w:color w:val="auto"/>
          <w:sz w:val="30"/>
          <w:szCs w:val="30"/>
        </w:rPr>
        <w:fldChar w:fldCharType="separate"/>
      </w:r>
      <w:r>
        <w:rPr>
          <w:b/>
          <w:bCs/>
          <w:color w:val="auto"/>
          <w:sz w:val="30"/>
          <w:szCs w:val="30"/>
        </w:rPr>
        <w:t>110</w:t>
      </w:r>
      <w:r>
        <w:rPr>
          <w:b/>
          <w:bCs/>
          <w:color w:val="auto"/>
          <w:sz w:val="30"/>
          <w:szCs w:val="30"/>
        </w:rPr>
        <w:fldChar w:fldCharType="end"/>
      </w:r>
      <w:r>
        <w:rPr>
          <w:rFonts w:cs="Times New Roman"/>
          <w:b/>
          <w:bCs/>
          <w:color w:val="auto"/>
          <w:sz w:val="30"/>
          <w:szCs w:val="30"/>
        </w:rPr>
        <w:fldChar w:fldCharType="end"/>
      </w:r>
    </w:p>
    <w:p>
      <w:pPr>
        <w:pStyle w:val="12"/>
        <w:tabs>
          <w:tab w:val="right" w:leader="dot" w:pos="8306"/>
        </w:tabs>
        <w:rPr>
          <w:b/>
          <w:bCs/>
          <w:color w:val="auto"/>
          <w:sz w:val="30"/>
          <w:szCs w:val="30"/>
        </w:rPr>
      </w:pPr>
      <w:r>
        <w:rPr>
          <w:rFonts w:cs="Times New Roman"/>
          <w:b/>
          <w:bCs/>
          <w:color w:val="auto"/>
          <w:sz w:val="30"/>
          <w:szCs w:val="30"/>
        </w:rPr>
        <w:fldChar w:fldCharType="begin"/>
      </w:r>
      <w:r>
        <w:rPr>
          <w:rFonts w:cs="Times New Roman"/>
          <w:b/>
          <w:bCs/>
          <w:color w:val="auto"/>
          <w:sz w:val="30"/>
          <w:szCs w:val="30"/>
        </w:rPr>
        <w:instrText xml:space="preserve"> HYPERLINK \l _Toc23263 </w:instrText>
      </w:r>
      <w:r>
        <w:rPr>
          <w:rFonts w:cs="Times New Roman"/>
          <w:b/>
          <w:bCs/>
          <w:color w:val="auto"/>
          <w:sz w:val="30"/>
          <w:szCs w:val="30"/>
        </w:rPr>
        <w:fldChar w:fldCharType="separate"/>
      </w:r>
      <w:r>
        <w:rPr>
          <w:rFonts w:hint="eastAsia" w:ascii="Times New Roman" w:hAnsi="Times New Roman" w:eastAsia="仿宋" w:cs="Times New Roman"/>
          <w:b/>
          <w:bCs/>
          <w:color w:val="auto"/>
          <w:sz w:val="30"/>
          <w:szCs w:val="30"/>
        </w:rPr>
        <w:t>附图5 绥棱县生态系统分布图</w:t>
      </w:r>
      <w:r>
        <w:rPr>
          <w:b/>
          <w:bCs/>
          <w:color w:val="auto"/>
          <w:sz w:val="30"/>
          <w:szCs w:val="30"/>
        </w:rPr>
        <w:tab/>
      </w:r>
      <w:r>
        <w:rPr>
          <w:b/>
          <w:bCs/>
          <w:color w:val="auto"/>
          <w:sz w:val="30"/>
          <w:szCs w:val="30"/>
        </w:rPr>
        <w:fldChar w:fldCharType="begin"/>
      </w:r>
      <w:r>
        <w:rPr>
          <w:b/>
          <w:bCs/>
          <w:color w:val="auto"/>
          <w:sz w:val="30"/>
          <w:szCs w:val="30"/>
        </w:rPr>
        <w:instrText xml:space="preserve"> PAGEREF _Toc23263 \h </w:instrText>
      </w:r>
      <w:r>
        <w:rPr>
          <w:b/>
          <w:bCs/>
          <w:color w:val="auto"/>
          <w:sz w:val="30"/>
          <w:szCs w:val="30"/>
        </w:rPr>
        <w:fldChar w:fldCharType="separate"/>
      </w:r>
      <w:r>
        <w:rPr>
          <w:b/>
          <w:bCs/>
          <w:color w:val="auto"/>
          <w:sz w:val="30"/>
          <w:szCs w:val="30"/>
        </w:rPr>
        <w:t>111</w:t>
      </w:r>
      <w:r>
        <w:rPr>
          <w:b/>
          <w:bCs/>
          <w:color w:val="auto"/>
          <w:sz w:val="30"/>
          <w:szCs w:val="30"/>
        </w:rPr>
        <w:fldChar w:fldCharType="end"/>
      </w:r>
      <w:r>
        <w:rPr>
          <w:rFonts w:cs="Times New Roman"/>
          <w:b/>
          <w:bCs/>
          <w:color w:val="auto"/>
          <w:sz w:val="30"/>
          <w:szCs w:val="30"/>
        </w:rPr>
        <w:fldChar w:fldCharType="end"/>
      </w:r>
    </w:p>
    <w:p>
      <w:pPr>
        <w:pStyle w:val="12"/>
        <w:tabs>
          <w:tab w:val="right" w:leader="dot" w:pos="8306"/>
        </w:tabs>
        <w:rPr>
          <w:b/>
          <w:bCs/>
          <w:color w:val="auto"/>
          <w:sz w:val="30"/>
          <w:szCs w:val="30"/>
        </w:rPr>
      </w:pPr>
      <w:r>
        <w:rPr>
          <w:rFonts w:cs="Times New Roman"/>
          <w:b/>
          <w:bCs/>
          <w:color w:val="auto"/>
          <w:sz w:val="30"/>
          <w:szCs w:val="30"/>
        </w:rPr>
        <w:fldChar w:fldCharType="begin"/>
      </w:r>
      <w:r>
        <w:rPr>
          <w:rFonts w:cs="Times New Roman"/>
          <w:b/>
          <w:bCs/>
          <w:color w:val="auto"/>
          <w:sz w:val="30"/>
          <w:szCs w:val="30"/>
        </w:rPr>
        <w:instrText xml:space="preserve"> HYPERLINK \l _Toc18640 </w:instrText>
      </w:r>
      <w:r>
        <w:rPr>
          <w:rFonts w:cs="Times New Roman"/>
          <w:b/>
          <w:bCs/>
          <w:color w:val="auto"/>
          <w:sz w:val="30"/>
          <w:szCs w:val="30"/>
        </w:rPr>
        <w:fldChar w:fldCharType="separate"/>
      </w:r>
      <w:r>
        <w:rPr>
          <w:rFonts w:hint="eastAsia" w:ascii="Times New Roman" w:hAnsi="Times New Roman" w:eastAsia="仿宋" w:cs="Times New Roman"/>
          <w:b/>
          <w:bCs/>
          <w:color w:val="auto"/>
          <w:sz w:val="30"/>
          <w:szCs w:val="30"/>
        </w:rPr>
        <w:t>附图6 绥棱县自然保护地分布图</w:t>
      </w:r>
      <w:r>
        <w:rPr>
          <w:b/>
          <w:bCs/>
          <w:color w:val="auto"/>
          <w:sz w:val="30"/>
          <w:szCs w:val="30"/>
        </w:rPr>
        <w:tab/>
      </w:r>
      <w:r>
        <w:rPr>
          <w:b/>
          <w:bCs/>
          <w:color w:val="auto"/>
          <w:sz w:val="30"/>
          <w:szCs w:val="30"/>
        </w:rPr>
        <w:fldChar w:fldCharType="begin"/>
      </w:r>
      <w:r>
        <w:rPr>
          <w:b/>
          <w:bCs/>
          <w:color w:val="auto"/>
          <w:sz w:val="30"/>
          <w:szCs w:val="30"/>
        </w:rPr>
        <w:instrText xml:space="preserve"> PAGEREF _Toc18640 \h </w:instrText>
      </w:r>
      <w:r>
        <w:rPr>
          <w:b/>
          <w:bCs/>
          <w:color w:val="auto"/>
          <w:sz w:val="30"/>
          <w:szCs w:val="30"/>
        </w:rPr>
        <w:fldChar w:fldCharType="separate"/>
      </w:r>
      <w:r>
        <w:rPr>
          <w:b/>
          <w:bCs/>
          <w:color w:val="auto"/>
          <w:sz w:val="30"/>
          <w:szCs w:val="30"/>
        </w:rPr>
        <w:t>112</w:t>
      </w:r>
      <w:r>
        <w:rPr>
          <w:b/>
          <w:bCs/>
          <w:color w:val="auto"/>
          <w:sz w:val="30"/>
          <w:szCs w:val="30"/>
        </w:rPr>
        <w:fldChar w:fldCharType="end"/>
      </w:r>
      <w:r>
        <w:rPr>
          <w:rFonts w:cs="Times New Roman"/>
          <w:b/>
          <w:bCs/>
          <w:color w:val="auto"/>
          <w:sz w:val="30"/>
          <w:szCs w:val="30"/>
        </w:rPr>
        <w:fldChar w:fldCharType="end"/>
      </w:r>
    </w:p>
    <w:p>
      <w:pPr>
        <w:pStyle w:val="12"/>
        <w:tabs>
          <w:tab w:val="right" w:leader="dot" w:pos="8306"/>
        </w:tabs>
        <w:rPr>
          <w:b/>
          <w:bCs/>
          <w:color w:val="auto"/>
          <w:sz w:val="30"/>
          <w:szCs w:val="30"/>
        </w:rPr>
      </w:pPr>
      <w:r>
        <w:rPr>
          <w:rFonts w:cs="Times New Roman"/>
          <w:b/>
          <w:bCs/>
          <w:color w:val="auto"/>
          <w:sz w:val="30"/>
          <w:szCs w:val="30"/>
        </w:rPr>
        <w:fldChar w:fldCharType="begin"/>
      </w:r>
      <w:r>
        <w:rPr>
          <w:rFonts w:cs="Times New Roman"/>
          <w:b/>
          <w:bCs/>
          <w:color w:val="auto"/>
          <w:sz w:val="30"/>
          <w:szCs w:val="30"/>
        </w:rPr>
        <w:instrText xml:space="preserve"> HYPERLINK \l _Toc25980 </w:instrText>
      </w:r>
      <w:r>
        <w:rPr>
          <w:rFonts w:cs="Times New Roman"/>
          <w:b/>
          <w:bCs/>
          <w:color w:val="auto"/>
          <w:sz w:val="30"/>
          <w:szCs w:val="30"/>
        </w:rPr>
        <w:fldChar w:fldCharType="separate"/>
      </w:r>
      <w:r>
        <w:rPr>
          <w:rFonts w:hint="eastAsia" w:ascii="Times New Roman" w:hAnsi="Times New Roman" w:eastAsia="仿宋" w:cs="Times New Roman"/>
          <w:b/>
          <w:bCs/>
          <w:color w:val="auto"/>
          <w:sz w:val="30"/>
          <w:szCs w:val="30"/>
        </w:rPr>
        <w:t>附图7 绥棱县水源涵养量分布图</w:t>
      </w:r>
      <w:r>
        <w:rPr>
          <w:b/>
          <w:bCs/>
          <w:color w:val="auto"/>
          <w:sz w:val="30"/>
          <w:szCs w:val="30"/>
        </w:rPr>
        <w:tab/>
      </w:r>
      <w:r>
        <w:rPr>
          <w:b/>
          <w:bCs/>
          <w:color w:val="auto"/>
          <w:sz w:val="30"/>
          <w:szCs w:val="30"/>
        </w:rPr>
        <w:fldChar w:fldCharType="begin"/>
      </w:r>
      <w:r>
        <w:rPr>
          <w:b/>
          <w:bCs/>
          <w:color w:val="auto"/>
          <w:sz w:val="30"/>
          <w:szCs w:val="30"/>
        </w:rPr>
        <w:instrText xml:space="preserve"> PAGEREF _Toc25980 \h </w:instrText>
      </w:r>
      <w:r>
        <w:rPr>
          <w:b/>
          <w:bCs/>
          <w:color w:val="auto"/>
          <w:sz w:val="30"/>
          <w:szCs w:val="30"/>
        </w:rPr>
        <w:fldChar w:fldCharType="separate"/>
      </w:r>
      <w:r>
        <w:rPr>
          <w:b/>
          <w:bCs/>
          <w:color w:val="auto"/>
          <w:sz w:val="30"/>
          <w:szCs w:val="30"/>
        </w:rPr>
        <w:t>113</w:t>
      </w:r>
      <w:r>
        <w:rPr>
          <w:b/>
          <w:bCs/>
          <w:color w:val="auto"/>
          <w:sz w:val="30"/>
          <w:szCs w:val="30"/>
        </w:rPr>
        <w:fldChar w:fldCharType="end"/>
      </w:r>
      <w:r>
        <w:rPr>
          <w:rFonts w:cs="Times New Roman"/>
          <w:b/>
          <w:bCs/>
          <w:color w:val="auto"/>
          <w:sz w:val="30"/>
          <w:szCs w:val="30"/>
        </w:rPr>
        <w:fldChar w:fldCharType="end"/>
      </w:r>
    </w:p>
    <w:p>
      <w:pPr>
        <w:pStyle w:val="12"/>
        <w:tabs>
          <w:tab w:val="right" w:leader="dot" w:pos="8306"/>
        </w:tabs>
        <w:rPr>
          <w:b/>
          <w:bCs/>
          <w:color w:val="auto"/>
          <w:sz w:val="30"/>
          <w:szCs w:val="30"/>
        </w:rPr>
      </w:pPr>
      <w:r>
        <w:rPr>
          <w:rFonts w:cs="Times New Roman"/>
          <w:b/>
          <w:bCs/>
          <w:color w:val="auto"/>
          <w:sz w:val="30"/>
          <w:szCs w:val="30"/>
        </w:rPr>
        <w:fldChar w:fldCharType="begin"/>
      </w:r>
      <w:r>
        <w:rPr>
          <w:rFonts w:cs="Times New Roman"/>
          <w:b/>
          <w:bCs/>
          <w:color w:val="auto"/>
          <w:sz w:val="30"/>
          <w:szCs w:val="30"/>
        </w:rPr>
        <w:instrText xml:space="preserve"> HYPERLINK \l _Toc10093 </w:instrText>
      </w:r>
      <w:r>
        <w:rPr>
          <w:rFonts w:cs="Times New Roman"/>
          <w:b/>
          <w:bCs/>
          <w:color w:val="auto"/>
          <w:sz w:val="30"/>
          <w:szCs w:val="30"/>
        </w:rPr>
        <w:fldChar w:fldCharType="separate"/>
      </w:r>
      <w:r>
        <w:rPr>
          <w:rFonts w:hint="eastAsia" w:ascii="Times New Roman" w:hAnsi="Times New Roman" w:eastAsia="仿宋" w:cs="Times New Roman"/>
          <w:b/>
          <w:bCs/>
          <w:color w:val="auto"/>
          <w:sz w:val="30"/>
          <w:szCs w:val="30"/>
        </w:rPr>
        <w:t>附图8 绥棱县降雨量分布图</w:t>
      </w:r>
      <w:r>
        <w:rPr>
          <w:b/>
          <w:bCs/>
          <w:color w:val="auto"/>
          <w:sz w:val="30"/>
          <w:szCs w:val="30"/>
        </w:rPr>
        <w:tab/>
      </w:r>
      <w:r>
        <w:rPr>
          <w:b/>
          <w:bCs/>
          <w:color w:val="auto"/>
          <w:sz w:val="30"/>
          <w:szCs w:val="30"/>
        </w:rPr>
        <w:fldChar w:fldCharType="begin"/>
      </w:r>
      <w:r>
        <w:rPr>
          <w:b/>
          <w:bCs/>
          <w:color w:val="auto"/>
          <w:sz w:val="30"/>
          <w:szCs w:val="30"/>
        </w:rPr>
        <w:instrText xml:space="preserve"> PAGEREF _Toc10093 \h </w:instrText>
      </w:r>
      <w:r>
        <w:rPr>
          <w:b/>
          <w:bCs/>
          <w:color w:val="auto"/>
          <w:sz w:val="30"/>
          <w:szCs w:val="30"/>
        </w:rPr>
        <w:fldChar w:fldCharType="separate"/>
      </w:r>
      <w:r>
        <w:rPr>
          <w:b/>
          <w:bCs/>
          <w:color w:val="auto"/>
          <w:sz w:val="30"/>
          <w:szCs w:val="30"/>
        </w:rPr>
        <w:t>114</w:t>
      </w:r>
      <w:r>
        <w:rPr>
          <w:b/>
          <w:bCs/>
          <w:color w:val="auto"/>
          <w:sz w:val="30"/>
          <w:szCs w:val="30"/>
        </w:rPr>
        <w:fldChar w:fldCharType="end"/>
      </w:r>
      <w:r>
        <w:rPr>
          <w:rFonts w:cs="Times New Roman"/>
          <w:b/>
          <w:bCs/>
          <w:color w:val="auto"/>
          <w:sz w:val="30"/>
          <w:szCs w:val="30"/>
        </w:rPr>
        <w:fldChar w:fldCharType="end"/>
      </w:r>
    </w:p>
    <w:p>
      <w:pPr>
        <w:pStyle w:val="12"/>
        <w:tabs>
          <w:tab w:val="right" w:leader="dot" w:pos="8306"/>
        </w:tabs>
        <w:rPr>
          <w:b/>
          <w:bCs/>
          <w:color w:val="auto"/>
          <w:sz w:val="30"/>
          <w:szCs w:val="30"/>
        </w:rPr>
      </w:pPr>
      <w:r>
        <w:rPr>
          <w:rFonts w:cs="Times New Roman"/>
          <w:b/>
          <w:bCs/>
          <w:color w:val="auto"/>
          <w:sz w:val="30"/>
          <w:szCs w:val="30"/>
        </w:rPr>
        <w:fldChar w:fldCharType="begin"/>
      </w:r>
      <w:r>
        <w:rPr>
          <w:rFonts w:cs="Times New Roman"/>
          <w:b/>
          <w:bCs/>
          <w:color w:val="auto"/>
          <w:sz w:val="30"/>
          <w:szCs w:val="30"/>
        </w:rPr>
        <w:instrText xml:space="preserve"> HYPERLINK \l _Toc30946 </w:instrText>
      </w:r>
      <w:r>
        <w:rPr>
          <w:rFonts w:cs="Times New Roman"/>
          <w:b/>
          <w:bCs/>
          <w:color w:val="auto"/>
          <w:sz w:val="30"/>
          <w:szCs w:val="30"/>
        </w:rPr>
        <w:fldChar w:fldCharType="separate"/>
      </w:r>
      <w:r>
        <w:rPr>
          <w:rFonts w:hint="eastAsia" w:ascii="Times New Roman" w:hAnsi="Times New Roman" w:eastAsia="仿宋" w:cs="Times New Roman"/>
          <w:b/>
          <w:bCs/>
          <w:color w:val="auto"/>
          <w:sz w:val="30"/>
          <w:szCs w:val="30"/>
        </w:rPr>
        <w:t>附图9 绥棱县降雨侵蚀力因子分布图</w:t>
      </w:r>
      <w:r>
        <w:rPr>
          <w:b/>
          <w:bCs/>
          <w:color w:val="auto"/>
          <w:sz w:val="30"/>
          <w:szCs w:val="30"/>
        </w:rPr>
        <w:tab/>
      </w:r>
      <w:r>
        <w:rPr>
          <w:b/>
          <w:bCs/>
          <w:color w:val="auto"/>
          <w:sz w:val="30"/>
          <w:szCs w:val="30"/>
        </w:rPr>
        <w:fldChar w:fldCharType="begin"/>
      </w:r>
      <w:r>
        <w:rPr>
          <w:b/>
          <w:bCs/>
          <w:color w:val="auto"/>
          <w:sz w:val="30"/>
          <w:szCs w:val="30"/>
        </w:rPr>
        <w:instrText xml:space="preserve"> PAGEREF _Toc30946 \h </w:instrText>
      </w:r>
      <w:r>
        <w:rPr>
          <w:b/>
          <w:bCs/>
          <w:color w:val="auto"/>
          <w:sz w:val="30"/>
          <w:szCs w:val="30"/>
        </w:rPr>
        <w:fldChar w:fldCharType="separate"/>
      </w:r>
      <w:r>
        <w:rPr>
          <w:b/>
          <w:bCs/>
          <w:color w:val="auto"/>
          <w:sz w:val="30"/>
          <w:szCs w:val="30"/>
        </w:rPr>
        <w:t>115</w:t>
      </w:r>
      <w:r>
        <w:rPr>
          <w:b/>
          <w:bCs/>
          <w:color w:val="auto"/>
          <w:sz w:val="30"/>
          <w:szCs w:val="30"/>
        </w:rPr>
        <w:fldChar w:fldCharType="end"/>
      </w:r>
      <w:r>
        <w:rPr>
          <w:rFonts w:cs="Times New Roman"/>
          <w:b/>
          <w:bCs/>
          <w:color w:val="auto"/>
          <w:sz w:val="30"/>
          <w:szCs w:val="30"/>
        </w:rPr>
        <w:fldChar w:fldCharType="end"/>
      </w:r>
    </w:p>
    <w:p>
      <w:pPr>
        <w:pStyle w:val="12"/>
        <w:tabs>
          <w:tab w:val="right" w:leader="dot" w:pos="8306"/>
        </w:tabs>
        <w:rPr>
          <w:b/>
          <w:bCs/>
          <w:color w:val="auto"/>
          <w:sz w:val="30"/>
          <w:szCs w:val="30"/>
        </w:rPr>
      </w:pPr>
      <w:r>
        <w:rPr>
          <w:rFonts w:cs="Times New Roman"/>
          <w:b/>
          <w:bCs/>
          <w:color w:val="auto"/>
          <w:sz w:val="30"/>
          <w:szCs w:val="30"/>
        </w:rPr>
        <w:fldChar w:fldCharType="begin"/>
      </w:r>
      <w:r>
        <w:rPr>
          <w:rFonts w:cs="Times New Roman"/>
          <w:b/>
          <w:bCs/>
          <w:color w:val="auto"/>
          <w:sz w:val="30"/>
          <w:szCs w:val="30"/>
        </w:rPr>
        <w:instrText xml:space="preserve"> HYPERLINK \l _Toc26452 </w:instrText>
      </w:r>
      <w:r>
        <w:rPr>
          <w:rFonts w:cs="Times New Roman"/>
          <w:b/>
          <w:bCs/>
          <w:color w:val="auto"/>
          <w:sz w:val="30"/>
          <w:szCs w:val="30"/>
        </w:rPr>
        <w:fldChar w:fldCharType="separate"/>
      </w:r>
      <w:r>
        <w:rPr>
          <w:rFonts w:hint="eastAsia" w:ascii="Times New Roman" w:hAnsi="Times New Roman" w:eastAsia="仿宋" w:cs="Times New Roman"/>
          <w:b/>
          <w:bCs/>
          <w:color w:val="auto"/>
          <w:sz w:val="30"/>
          <w:szCs w:val="30"/>
        </w:rPr>
        <w:t>附图10 绥棱县砂粒百分含量分布图</w:t>
      </w:r>
      <w:r>
        <w:rPr>
          <w:b/>
          <w:bCs/>
          <w:color w:val="auto"/>
          <w:sz w:val="30"/>
          <w:szCs w:val="30"/>
        </w:rPr>
        <w:tab/>
      </w:r>
      <w:r>
        <w:rPr>
          <w:b/>
          <w:bCs/>
          <w:color w:val="auto"/>
          <w:sz w:val="30"/>
          <w:szCs w:val="30"/>
        </w:rPr>
        <w:fldChar w:fldCharType="begin"/>
      </w:r>
      <w:r>
        <w:rPr>
          <w:b/>
          <w:bCs/>
          <w:color w:val="auto"/>
          <w:sz w:val="30"/>
          <w:szCs w:val="30"/>
        </w:rPr>
        <w:instrText xml:space="preserve"> PAGEREF _Toc26452 \h </w:instrText>
      </w:r>
      <w:r>
        <w:rPr>
          <w:b/>
          <w:bCs/>
          <w:color w:val="auto"/>
          <w:sz w:val="30"/>
          <w:szCs w:val="30"/>
        </w:rPr>
        <w:fldChar w:fldCharType="separate"/>
      </w:r>
      <w:r>
        <w:rPr>
          <w:b/>
          <w:bCs/>
          <w:color w:val="auto"/>
          <w:sz w:val="30"/>
          <w:szCs w:val="30"/>
        </w:rPr>
        <w:t>116</w:t>
      </w:r>
      <w:r>
        <w:rPr>
          <w:b/>
          <w:bCs/>
          <w:color w:val="auto"/>
          <w:sz w:val="30"/>
          <w:szCs w:val="30"/>
        </w:rPr>
        <w:fldChar w:fldCharType="end"/>
      </w:r>
      <w:r>
        <w:rPr>
          <w:rFonts w:cs="Times New Roman"/>
          <w:b/>
          <w:bCs/>
          <w:color w:val="auto"/>
          <w:sz w:val="30"/>
          <w:szCs w:val="30"/>
        </w:rPr>
        <w:fldChar w:fldCharType="end"/>
      </w:r>
    </w:p>
    <w:p>
      <w:pPr>
        <w:pStyle w:val="12"/>
        <w:tabs>
          <w:tab w:val="right" w:leader="dot" w:pos="8306"/>
        </w:tabs>
        <w:rPr>
          <w:b/>
          <w:bCs/>
          <w:color w:val="auto"/>
          <w:sz w:val="30"/>
          <w:szCs w:val="30"/>
        </w:rPr>
      </w:pPr>
      <w:r>
        <w:rPr>
          <w:rFonts w:cs="Times New Roman"/>
          <w:b/>
          <w:bCs/>
          <w:color w:val="auto"/>
          <w:sz w:val="30"/>
          <w:szCs w:val="30"/>
        </w:rPr>
        <w:fldChar w:fldCharType="begin"/>
      </w:r>
      <w:r>
        <w:rPr>
          <w:rFonts w:cs="Times New Roman"/>
          <w:b/>
          <w:bCs/>
          <w:color w:val="auto"/>
          <w:sz w:val="30"/>
          <w:szCs w:val="30"/>
        </w:rPr>
        <w:instrText xml:space="preserve"> HYPERLINK \l _Toc7167 </w:instrText>
      </w:r>
      <w:r>
        <w:rPr>
          <w:rFonts w:cs="Times New Roman"/>
          <w:b/>
          <w:bCs/>
          <w:color w:val="auto"/>
          <w:sz w:val="30"/>
          <w:szCs w:val="30"/>
        </w:rPr>
        <w:fldChar w:fldCharType="separate"/>
      </w:r>
      <w:r>
        <w:rPr>
          <w:rFonts w:hint="eastAsia" w:ascii="Times New Roman" w:hAnsi="Times New Roman" w:eastAsia="仿宋" w:cs="Times New Roman"/>
          <w:b/>
          <w:bCs/>
          <w:color w:val="auto"/>
          <w:sz w:val="30"/>
          <w:szCs w:val="30"/>
        </w:rPr>
        <w:t>附图11 绥棱县粉粒百分含量分布图</w:t>
      </w:r>
      <w:r>
        <w:rPr>
          <w:b/>
          <w:bCs/>
          <w:color w:val="auto"/>
          <w:sz w:val="30"/>
          <w:szCs w:val="30"/>
        </w:rPr>
        <w:tab/>
      </w:r>
      <w:r>
        <w:rPr>
          <w:b/>
          <w:bCs/>
          <w:color w:val="auto"/>
          <w:sz w:val="30"/>
          <w:szCs w:val="30"/>
        </w:rPr>
        <w:fldChar w:fldCharType="begin"/>
      </w:r>
      <w:r>
        <w:rPr>
          <w:b/>
          <w:bCs/>
          <w:color w:val="auto"/>
          <w:sz w:val="30"/>
          <w:szCs w:val="30"/>
        </w:rPr>
        <w:instrText xml:space="preserve"> PAGEREF _Toc7167 \h </w:instrText>
      </w:r>
      <w:r>
        <w:rPr>
          <w:b/>
          <w:bCs/>
          <w:color w:val="auto"/>
          <w:sz w:val="30"/>
          <w:szCs w:val="30"/>
        </w:rPr>
        <w:fldChar w:fldCharType="separate"/>
      </w:r>
      <w:r>
        <w:rPr>
          <w:b/>
          <w:bCs/>
          <w:color w:val="auto"/>
          <w:sz w:val="30"/>
          <w:szCs w:val="30"/>
        </w:rPr>
        <w:t>117</w:t>
      </w:r>
      <w:r>
        <w:rPr>
          <w:b/>
          <w:bCs/>
          <w:color w:val="auto"/>
          <w:sz w:val="30"/>
          <w:szCs w:val="30"/>
        </w:rPr>
        <w:fldChar w:fldCharType="end"/>
      </w:r>
      <w:r>
        <w:rPr>
          <w:rFonts w:cs="Times New Roman"/>
          <w:b/>
          <w:bCs/>
          <w:color w:val="auto"/>
          <w:sz w:val="30"/>
          <w:szCs w:val="30"/>
        </w:rPr>
        <w:fldChar w:fldCharType="end"/>
      </w:r>
    </w:p>
    <w:p>
      <w:pPr>
        <w:pStyle w:val="12"/>
        <w:tabs>
          <w:tab w:val="right" w:leader="dot" w:pos="8306"/>
        </w:tabs>
        <w:rPr>
          <w:b/>
          <w:bCs/>
          <w:color w:val="auto"/>
          <w:sz w:val="30"/>
          <w:szCs w:val="30"/>
        </w:rPr>
      </w:pPr>
      <w:r>
        <w:rPr>
          <w:rFonts w:cs="Times New Roman"/>
          <w:b/>
          <w:bCs/>
          <w:color w:val="auto"/>
          <w:sz w:val="30"/>
          <w:szCs w:val="30"/>
        </w:rPr>
        <w:fldChar w:fldCharType="begin"/>
      </w:r>
      <w:r>
        <w:rPr>
          <w:rFonts w:cs="Times New Roman"/>
          <w:b/>
          <w:bCs/>
          <w:color w:val="auto"/>
          <w:sz w:val="30"/>
          <w:szCs w:val="30"/>
        </w:rPr>
        <w:instrText xml:space="preserve"> HYPERLINK \l _Toc17577 </w:instrText>
      </w:r>
      <w:r>
        <w:rPr>
          <w:rFonts w:cs="Times New Roman"/>
          <w:b/>
          <w:bCs/>
          <w:color w:val="auto"/>
          <w:sz w:val="30"/>
          <w:szCs w:val="30"/>
        </w:rPr>
        <w:fldChar w:fldCharType="separate"/>
      </w:r>
      <w:r>
        <w:rPr>
          <w:rFonts w:hint="eastAsia" w:ascii="Times New Roman" w:hAnsi="Times New Roman" w:eastAsia="仿宋" w:cs="Times New Roman"/>
          <w:b/>
          <w:bCs/>
          <w:color w:val="auto"/>
          <w:sz w:val="30"/>
          <w:szCs w:val="30"/>
        </w:rPr>
        <w:t>附图12 绥棱县黏粒百分含量分布图</w:t>
      </w:r>
      <w:r>
        <w:rPr>
          <w:b/>
          <w:bCs/>
          <w:color w:val="auto"/>
          <w:sz w:val="30"/>
          <w:szCs w:val="30"/>
        </w:rPr>
        <w:tab/>
      </w:r>
      <w:r>
        <w:rPr>
          <w:b/>
          <w:bCs/>
          <w:color w:val="auto"/>
          <w:sz w:val="30"/>
          <w:szCs w:val="30"/>
        </w:rPr>
        <w:fldChar w:fldCharType="begin"/>
      </w:r>
      <w:r>
        <w:rPr>
          <w:b/>
          <w:bCs/>
          <w:color w:val="auto"/>
          <w:sz w:val="30"/>
          <w:szCs w:val="30"/>
        </w:rPr>
        <w:instrText xml:space="preserve"> PAGEREF _Toc17577 \h </w:instrText>
      </w:r>
      <w:r>
        <w:rPr>
          <w:b/>
          <w:bCs/>
          <w:color w:val="auto"/>
          <w:sz w:val="30"/>
          <w:szCs w:val="30"/>
        </w:rPr>
        <w:fldChar w:fldCharType="separate"/>
      </w:r>
      <w:r>
        <w:rPr>
          <w:b/>
          <w:bCs/>
          <w:color w:val="auto"/>
          <w:sz w:val="30"/>
          <w:szCs w:val="30"/>
        </w:rPr>
        <w:t>118</w:t>
      </w:r>
      <w:r>
        <w:rPr>
          <w:b/>
          <w:bCs/>
          <w:color w:val="auto"/>
          <w:sz w:val="30"/>
          <w:szCs w:val="30"/>
        </w:rPr>
        <w:fldChar w:fldCharType="end"/>
      </w:r>
      <w:r>
        <w:rPr>
          <w:rFonts w:cs="Times New Roman"/>
          <w:b/>
          <w:bCs/>
          <w:color w:val="auto"/>
          <w:sz w:val="30"/>
          <w:szCs w:val="30"/>
        </w:rPr>
        <w:fldChar w:fldCharType="end"/>
      </w:r>
    </w:p>
    <w:p>
      <w:pPr>
        <w:pStyle w:val="12"/>
        <w:tabs>
          <w:tab w:val="right" w:leader="dot" w:pos="8306"/>
        </w:tabs>
        <w:rPr>
          <w:b/>
          <w:bCs/>
          <w:color w:val="auto"/>
          <w:sz w:val="30"/>
          <w:szCs w:val="30"/>
        </w:rPr>
      </w:pPr>
      <w:r>
        <w:rPr>
          <w:rFonts w:cs="Times New Roman"/>
          <w:b/>
          <w:bCs/>
          <w:color w:val="auto"/>
          <w:sz w:val="30"/>
          <w:szCs w:val="30"/>
        </w:rPr>
        <w:fldChar w:fldCharType="begin"/>
      </w:r>
      <w:r>
        <w:rPr>
          <w:rFonts w:cs="Times New Roman"/>
          <w:b/>
          <w:bCs/>
          <w:color w:val="auto"/>
          <w:sz w:val="30"/>
          <w:szCs w:val="30"/>
        </w:rPr>
        <w:instrText xml:space="preserve"> HYPERLINK \l _Toc25245 </w:instrText>
      </w:r>
      <w:r>
        <w:rPr>
          <w:rFonts w:cs="Times New Roman"/>
          <w:b/>
          <w:bCs/>
          <w:color w:val="auto"/>
          <w:sz w:val="30"/>
          <w:szCs w:val="30"/>
        </w:rPr>
        <w:fldChar w:fldCharType="separate"/>
      </w:r>
      <w:r>
        <w:rPr>
          <w:rFonts w:hint="eastAsia" w:ascii="Times New Roman" w:hAnsi="Times New Roman" w:eastAsia="仿宋" w:cs="Times New Roman"/>
          <w:b/>
          <w:bCs/>
          <w:color w:val="auto"/>
          <w:sz w:val="30"/>
          <w:szCs w:val="30"/>
        </w:rPr>
        <w:t>附图13 绥棱县有机碳百分含量分布图</w:t>
      </w:r>
      <w:r>
        <w:rPr>
          <w:b/>
          <w:bCs/>
          <w:color w:val="auto"/>
          <w:sz w:val="30"/>
          <w:szCs w:val="30"/>
        </w:rPr>
        <w:tab/>
      </w:r>
      <w:r>
        <w:rPr>
          <w:b/>
          <w:bCs/>
          <w:color w:val="auto"/>
          <w:sz w:val="30"/>
          <w:szCs w:val="30"/>
        </w:rPr>
        <w:fldChar w:fldCharType="begin"/>
      </w:r>
      <w:r>
        <w:rPr>
          <w:b/>
          <w:bCs/>
          <w:color w:val="auto"/>
          <w:sz w:val="30"/>
          <w:szCs w:val="30"/>
        </w:rPr>
        <w:instrText xml:space="preserve"> PAGEREF _Toc25245 \h </w:instrText>
      </w:r>
      <w:r>
        <w:rPr>
          <w:b/>
          <w:bCs/>
          <w:color w:val="auto"/>
          <w:sz w:val="30"/>
          <w:szCs w:val="30"/>
        </w:rPr>
        <w:fldChar w:fldCharType="separate"/>
      </w:r>
      <w:r>
        <w:rPr>
          <w:b/>
          <w:bCs/>
          <w:color w:val="auto"/>
          <w:sz w:val="30"/>
          <w:szCs w:val="30"/>
        </w:rPr>
        <w:t>119</w:t>
      </w:r>
      <w:r>
        <w:rPr>
          <w:b/>
          <w:bCs/>
          <w:color w:val="auto"/>
          <w:sz w:val="30"/>
          <w:szCs w:val="30"/>
        </w:rPr>
        <w:fldChar w:fldCharType="end"/>
      </w:r>
      <w:r>
        <w:rPr>
          <w:rFonts w:cs="Times New Roman"/>
          <w:b/>
          <w:bCs/>
          <w:color w:val="auto"/>
          <w:sz w:val="30"/>
          <w:szCs w:val="30"/>
        </w:rPr>
        <w:fldChar w:fldCharType="end"/>
      </w:r>
    </w:p>
    <w:p>
      <w:pPr>
        <w:pStyle w:val="12"/>
        <w:tabs>
          <w:tab w:val="right" w:leader="dot" w:pos="8306"/>
        </w:tabs>
        <w:rPr>
          <w:b/>
          <w:bCs/>
          <w:color w:val="auto"/>
          <w:sz w:val="30"/>
          <w:szCs w:val="30"/>
        </w:rPr>
      </w:pPr>
      <w:r>
        <w:rPr>
          <w:rFonts w:cs="Times New Roman"/>
          <w:b/>
          <w:bCs/>
          <w:color w:val="auto"/>
          <w:sz w:val="30"/>
          <w:szCs w:val="30"/>
        </w:rPr>
        <w:fldChar w:fldCharType="begin"/>
      </w:r>
      <w:r>
        <w:rPr>
          <w:rFonts w:cs="Times New Roman"/>
          <w:b/>
          <w:bCs/>
          <w:color w:val="auto"/>
          <w:sz w:val="30"/>
          <w:szCs w:val="30"/>
        </w:rPr>
        <w:instrText xml:space="preserve"> HYPERLINK \l _Toc15645 </w:instrText>
      </w:r>
      <w:r>
        <w:rPr>
          <w:rFonts w:cs="Times New Roman"/>
          <w:b/>
          <w:bCs/>
          <w:color w:val="auto"/>
          <w:sz w:val="30"/>
          <w:szCs w:val="30"/>
        </w:rPr>
        <w:fldChar w:fldCharType="separate"/>
      </w:r>
      <w:r>
        <w:rPr>
          <w:rFonts w:hint="eastAsia" w:ascii="Times New Roman" w:hAnsi="Times New Roman" w:eastAsia="仿宋" w:cs="Times New Roman"/>
          <w:b/>
          <w:bCs/>
          <w:color w:val="auto"/>
          <w:sz w:val="30"/>
          <w:szCs w:val="30"/>
        </w:rPr>
        <w:t>附图14 绥棱县土壤可蚀性因子分布图</w:t>
      </w:r>
      <w:r>
        <w:rPr>
          <w:b/>
          <w:bCs/>
          <w:color w:val="auto"/>
          <w:sz w:val="30"/>
          <w:szCs w:val="30"/>
        </w:rPr>
        <w:tab/>
      </w:r>
      <w:r>
        <w:rPr>
          <w:b/>
          <w:bCs/>
          <w:color w:val="auto"/>
          <w:sz w:val="30"/>
          <w:szCs w:val="30"/>
        </w:rPr>
        <w:fldChar w:fldCharType="begin"/>
      </w:r>
      <w:r>
        <w:rPr>
          <w:b/>
          <w:bCs/>
          <w:color w:val="auto"/>
          <w:sz w:val="30"/>
          <w:szCs w:val="30"/>
        </w:rPr>
        <w:instrText xml:space="preserve"> PAGEREF _Toc15645 \h </w:instrText>
      </w:r>
      <w:r>
        <w:rPr>
          <w:b/>
          <w:bCs/>
          <w:color w:val="auto"/>
          <w:sz w:val="30"/>
          <w:szCs w:val="30"/>
        </w:rPr>
        <w:fldChar w:fldCharType="separate"/>
      </w:r>
      <w:r>
        <w:rPr>
          <w:b/>
          <w:bCs/>
          <w:color w:val="auto"/>
          <w:sz w:val="30"/>
          <w:szCs w:val="30"/>
        </w:rPr>
        <w:t>120</w:t>
      </w:r>
      <w:r>
        <w:rPr>
          <w:b/>
          <w:bCs/>
          <w:color w:val="auto"/>
          <w:sz w:val="30"/>
          <w:szCs w:val="30"/>
        </w:rPr>
        <w:fldChar w:fldCharType="end"/>
      </w:r>
      <w:r>
        <w:rPr>
          <w:rFonts w:cs="Times New Roman"/>
          <w:b/>
          <w:bCs/>
          <w:color w:val="auto"/>
          <w:sz w:val="30"/>
          <w:szCs w:val="30"/>
        </w:rPr>
        <w:fldChar w:fldCharType="end"/>
      </w:r>
    </w:p>
    <w:p>
      <w:pPr>
        <w:pStyle w:val="12"/>
        <w:tabs>
          <w:tab w:val="right" w:leader="dot" w:pos="8306"/>
        </w:tabs>
        <w:rPr>
          <w:b/>
          <w:bCs/>
          <w:color w:val="auto"/>
          <w:sz w:val="30"/>
          <w:szCs w:val="30"/>
        </w:rPr>
      </w:pPr>
      <w:r>
        <w:rPr>
          <w:rFonts w:cs="Times New Roman"/>
          <w:b/>
          <w:bCs/>
          <w:color w:val="auto"/>
          <w:sz w:val="30"/>
          <w:szCs w:val="30"/>
        </w:rPr>
        <w:fldChar w:fldCharType="begin"/>
      </w:r>
      <w:r>
        <w:rPr>
          <w:rFonts w:cs="Times New Roman"/>
          <w:b/>
          <w:bCs/>
          <w:color w:val="auto"/>
          <w:sz w:val="30"/>
          <w:szCs w:val="30"/>
        </w:rPr>
        <w:instrText xml:space="preserve"> HYPERLINK \l _Toc23543 </w:instrText>
      </w:r>
      <w:r>
        <w:rPr>
          <w:rFonts w:cs="Times New Roman"/>
          <w:b/>
          <w:bCs/>
          <w:color w:val="auto"/>
          <w:sz w:val="30"/>
          <w:szCs w:val="30"/>
        </w:rPr>
        <w:fldChar w:fldCharType="separate"/>
      </w:r>
      <w:r>
        <w:rPr>
          <w:rFonts w:hint="eastAsia" w:ascii="Times New Roman" w:hAnsi="Times New Roman" w:eastAsia="仿宋" w:cs="Times New Roman"/>
          <w:b/>
          <w:bCs/>
          <w:color w:val="auto"/>
          <w:sz w:val="30"/>
          <w:szCs w:val="30"/>
        </w:rPr>
        <w:t>附图15 绥棱县坡长因子分布图</w:t>
      </w:r>
      <w:r>
        <w:rPr>
          <w:b/>
          <w:bCs/>
          <w:color w:val="auto"/>
          <w:sz w:val="30"/>
          <w:szCs w:val="30"/>
        </w:rPr>
        <w:tab/>
      </w:r>
      <w:r>
        <w:rPr>
          <w:b/>
          <w:bCs/>
          <w:color w:val="auto"/>
          <w:sz w:val="30"/>
          <w:szCs w:val="30"/>
        </w:rPr>
        <w:fldChar w:fldCharType="begin"/>
      </w:r>
      <w:r>
        <w:rPr>
          <w:b/>
          <w:bCs/>
          <w:color w:val="auto"/>
          <w:sz w:val="30"/>
          <w:szCs w:val="30"/>
        </w:rPr>
        <w:instrText xml:space="preserve"> PAGEREF _Toc23543 \h </w:instrText>
      </w:r>
      <w:r>
        <w:rPr>
          <w:b/>
          <w:bCs/>
          <w:color w:val="auto"/>
          <w:sz w:val="30"/>
          <w:szCs w:val="30"/>
        </w:rPr>
        <w:fldChar w:fldCharType="separate"/>
      </w:r>
      <w:r>
        <w:rPr>
          <w:b/>
          <w:bCs/>
          <w:color w:val="auto"/>
          <w:sz w:val="30"/>
          <w:szCs w:val="30"/>
        </w:rPr>
        <w:t>121</w:t>
      </w:r>
      <w:r>
        <w:rPr>
          <w:b/>
          <w:bCs/>
          <w:color w:val="auto"/>
          <w:sz w:val="30"/>
          <w:szCs w:val="30"/>
        </w:rPr>
        <w:fldChar w:fldCharType="end"/>
      </w:r>
      <w:r>
        <w:rPr>
          <w:rFonts w:cs="Times New Roman"/>
          <w:b/>
          <w:bCs/>
          <w:color w:val="auto"/>
          <w:sz w:val="30"/>
          <w:szCs w:val="30"/>
        </w:rPr>
        <w:fldChar w:fldCharType="end"/>
      </w:r>
    </w:p>
    <w:p>
      <w:pPr>
        <w:pStyle w:val="12"/>
        <w:tabs>
          <w:tab w:val="right" w:leader="dot" w:pos="8306"/>
        </w:tabs>
        <w:rPr>
          <w:b/>
          <w:bCs/>
          <w:color w:val="auto"/>
          <w:sz w:val="30"/>
          <w:szCs w:val="30"/>
        </w:rPr>
      </w:pPr>
      <w:r>
        <w:rPr>
          <w:rFonts w:cs="Times New Roman"/>
          <w:b/>
          <w:bCs/>
          <w:color w:val="auto"/>
          <w:sz w:val="30"/>
          <w:szCs w:val="30"/>
        </w:rPr>
        <w:fldChar w:fldCharType="begin"/>
      </w:r>
      <w:r>
        <w:rPr>
          <w:rFonts w:cs="Times New Roman"/>
          <w:b/>
          <w:bCs/>
          <w:color w:val="auto"/>
          <w:sz w:val="30"/>
          <w:szCs w:val="30"/>
        </w:rPr>
        <w:instrText xml:space="preserve"> HYPERLINK \l _Toc20999 </w:instrText>
      </w:r>
      <w:r>
        <w:rPr>
          <w:rFonts w:cs="Times New Roman"/>
          <w:b/>
          <w:bCs/>
          <w:color w:val="auto"/>
          <w:sz w:val="30"/>
          <w:szCs w:val="30"/>
        </w:rPr>
        <w:fldChar w:fldCharType="separate"/>
      </w:r>
      <w:r>
        <w:rPr>
          <w:rFonts w:hint="eastAsia" w:ascii="Times New Roman" w:hAnsi="Times New Roman" w:eastAsia="仿宋" w:cs="Times New Roman"/>
          <w:b/>
          <w:bCs/>
          <w:color w:val="auto"/>
          <w:sz w:val="30"/>
          <w:szCs w:val="30"/>
        </w:rPr>
        <w:t>附图16 绥棱县坡度因子分布图</w:t>
      </w:r>
      <w:r>
        <w:rPr>
          <w:b/>
          <w:bCs/>
          <w:color w:val="auto"/>
          <w:sz w:val="30"/>
          <w:szCs w:val="30"/>
        </w:rPr>
        <w:tab/>
      </w:r>
      <w:r>
        <w:rPr>
          <w:b/>
          <w:bCs/>
          <w:color w:val="auto"/>
          <w:sz w:val="30"/>
          <w:szCs w:val="30"/>
        </w:rPr>
        <w:fldChar w:fldCharType="begin"/>
      </w:r>
      <w:r>
        <w:rPr>
          <w:b/>
          <w:bCs/>
          <w:color w:val="auto"/>
          <w:sz w:val="30"/>
          <w:szCs w:val="30"/>
        </w:rPr>
        <w:instrText xml:space="preserve"> PAGEREF _Toc20999 \h </w:instrText>
      </w:r>
      <w:r>
        <w:rPr>
          <w:b/>
          <w:bCs/>
          <w:color w:val="auto"/>
          <w:sz w:val="30"/>
          <w:szCs w:val="30"/>
        </w:rPr>
        <w:fldChar w:fldCharType="separate"/>
      </w:r>
      <w:r>
        <w:rPr>
          <w:b/>
          <w:bCs/>
          <w:color w:val="auto"/>
          <w:sz w:val="30"/>
          <w:szCs w:val="30"/>
        </w:rPr>
        <w:t>122</w:t>
      </w:r>
      <w:r>
        <w:rPr>
          <w:b/>
          <w:bCs/>
          <w:color w:val="auto"/>
          <w:sz w:val="30"/>
          <w:szCs w:val="30"/>
        </w:rPr>
        <w:fldChar w:fldCharType="end"/>
      </w:r>
      <w:r>
        <w:rPr>
          <w:rFonts w:cs="Times New Roman"/>
          <w:b/>
          <w:bCs/>
          <w:color w:val="auto"/>
          <w:sz w:val="30"/>
          <w:szCs w:val="30"/>
        </w:rPr>
        <w:fldChar w:fldCharType="end"/>
      </w:r>
    </w:p>
    <w:p>
      <w:pPr>
        <w:pStyle w:val="12"/>
        <w:tabs>
          <w:tab w:val="right" w:leader="dot" w:pos="8306"/>
        </w:tabs>
        <w:rPr>
          <w:b/>
          <w:bCs/>
          <w:color w:val="auto"/>
          <w:sz w:val="30"/>
          <w:szCs w:val="30"/>
        </w:rPr>
      </w:pPr>
      <w:r>
        <w:rPr>
          <w:rFonts w:cs="Times New Roman"/>
          <w:b/>
          <w:bCs/>
          <w:color w:val="auto"/>
          <w:sz w:val="30"/>
          <w:szCs w:val="30"/>
        </w:rPr>
        <w:fldChar w:fldCharType="begin"/>
      </w:r>
      <w:r>
        <w:rPr>
          <w:rFonts w:cs="Times New Roman"/>
          <w:b/>
          <w:bCs/>
          <w:color w:val="auto"/>
          <w:sz w:val="30"/>
          <w:szCs w:val="30"/>
        </w:rPr>
        <w:instrText xml:space="preserve"> HYPERLINK \l _Toc7920 </w:instrText>
      </w:r>
      <w:r>
        <w:rPr>
          <w:rFonts w:cs="Times New Roman"/>
          <w:b/>
          <w:bCs/>
          <w:color w:val="auto"/>
          <w:sz w:val="30"/>
          <w:szCs w:val="30"/>
        </w:rPr>
        <w:fldChar w:fldCharType="separate"/>
      </w:r>
      <w:r>
        <w:rPr>
          <w:rFonts w:hint="eastAsia" w:ascii="Times New Roman" w:hAnsi="Times New Roman" w:eastAsia="仿宋" w:cs="Times New Roman"/>
          <w:b/>
          <w:bCs/>
          <w:color w:val="auto"/>
          <w:sz w:val="30"/>
          <w:szCs w:val="30"/>
        </w:rPr>
        <w:t>附图17 绥棱县植被覆盖因子分布图</w:t>
      </w:r>
      <w:r>
        <w:rPr>
          <w:b/>
          <w:bCs/>
          <w:color w:val="auto"/>
          <w:sz w:val="30"/>
          <w:szCs w:val="30"/>
        </w:rPr>
        <w:tab/>
      </w:r>
      <w:r>
        <w:rPr>
          <w:b/>
          <w:bCs/>
          <w:color w:val="auto"/>
          <w:sz w:val="30"/>
          <w:szCs w:val="30"/>
        </w:rPr>
        <w:fldChar w:fldCharType="begin"/>
      </w:r>
      <w:r>
        <w:rPr>
          <w:b/>
          <w:bCs/>
          <w:color w:val="auto"/>
          <w:sz w:val="30"/>
          <w:szCs w:val="30"/>
        </w:rPr>
        <w:instrText xml:space="preserve"> PAGEREF _Toc7920 \h </w:instrText>
      </w:r>
      <w:r>
        <w:rPr>
          <w:b/>
          <w:bCs/>
          <w:color w:val="auto"/>
          <w:sz w:val="30"/>
          <w:szCs w:val="30"/>
        </w:rPr>
        <w:fldChar w:fldCharType="separate"/>
      </w:r>
      <w:r>
        <w:rPr>
          <w:b/>
          <w:bCs/>
          <w:color w:val="auto"/>
          <w:sz w:val="30"/>
          <w:szCs w:val="30"/>
        </w:rPr>
        <w:t>123</w:t>
      </w:r>
      <w:r>
        <w:rPr>
          <w:b/>
          <w:bCs/>
          <w:color w:val="auto"/>
          <w:sz w:val="30"/>
          <w:szCs w:val="30"/>
        </w:rPr>
        <w:fldChar w:fldCharType="end"/>
      </w:r>
      <w:r>
        <w:rPr>
          <w:rFonts w:cs="Times New Roman"/>
          <w:b/>
          <w:bCs/>
          <w:color w:val="auto"/>
          <w:sz w:val="30"/>
          <w:szCs w:val="30"/>
        </w:rPr>
        <w:fldChar w:fldCharType="end"/>
      </w:r>
    </w:p>
    <w:p>
      <w:pPr>
        <w:pStyle w:val="12"/>
        <w:tabs>
          <w:tab w:val="right" w:leader="dot" w:pos="8306"/>
        </w:tabs>
        <w:rPr>
          <w:b/>
          <w:bCs/>
          <w:color w:val="auto"/>
          <w:sz w:val="30"/>
          <w:szCs w:val="30"/>
        </w:rPr>
      </w:pPr>
      <w:r>
        <w:rPr>
          <w:rFonts w:cs="Times New Roman"/>
          <w:b/>
          <w:bCs/>
          <w:color w:val="auto"/>
          <w:sz w:val="30"/>
          <w:szCs w:val="30"/>
        </w:rPr>
        <w:fldChar w:fldCharType="begin"/>
      </w:r>
      <w:r>
        <w:rPr>
          <w:rFonts w:cs="Times New Roman"/>
          <w:b/>
          <w:bCs/>
          <w:color w:val="auto"/>
          <w:sz w:val="30"/>
          <w:szCs w:val="30"/>
        </w:rPr>
        <w:instrText xml:space="preserve"> HYPERLINK \l _Toc30234 </w:instrText>
      </w:r>
      <w:r>
        <w:rPr>
          <w:rFonts w:cs="Times New Roman"/>
          <w:b/>
          <w:bCs/>
          <w:color w:val="auto"/>
          <w:sz w:val="30"/>
          <w:szCs w:val="30"/>
        </w:rPr>
        <w:fldChar w:fldCharType="separate"/>
      </w:r>
      <w:r>
        <w:rPr>
          <w:rFonts w:hint="eastAsia" w:ascii="Times New Roman" w:hAnsi="Times New Roman" w:eastAsia="仿宋" w:cs="Times New Roman"/>
          <w:b/>
          <w:bCs/>
          <w:color w:val="auto"/>
          <w:sz w:val="30"/>
          <w:szCs w:val="30"/>
        </w:rPr>
        <w:t>附图18 绥棱县土壤保持重要性分布图</w:t>
      </w:r>
      <w:r>
        <w:rPr>
          <w:b/>
          <w:bCs/>
          <w:color w:val="auto"/>
          <w:sz w:val="30"/>
          <w:szCs w:val="30"/>
        </w:rPr>
        <w:tab/>
      </w:r>
      <w:r>
        <w:rPr>
          <w:b/>
          <w:bCs/>
          <w:color w:val="auto"/>
          <w:sz w:val="30"/>
          <w:szCs w:val="30"/>
        </w:rPr>
        <w:fldChar w:fldCharType="begin"/>
      </w:r>
      <w:r>
        <w:rPr>
          <w:b/>
          <w:bCs/>
          <w:color w:val="auto"/>
          <w:sz w:val="30"/>
          <w:szCs w:val="30"/>
        </w:rPr>
        <w:instrText xml:space="preserve"> PAGEREF _Toc30234 \h </w:instrText>
      </w:r>
      <w:r>
        <w:rPr>
          <w:b/>
          <w:bCs/>
          <w:color w:val="auto"/>
          <w:sz w:val="30"/>
          <w:szCs w:val="30"/>
        </w:rPr>
        <w:fldChar w:fldCharType="separate"/>
      </w:r>
      <w:r>
        <w:rPr>
          <w:b/>
          <w:bCs/>
          <w:color w:val="auto"/>
          <w:sz w:val="30"/>
          <w:szCs w:val="30"/>
        </w:rPr>
        <w:t>124</w:t>
      </w:r>
      <w:r>
        <w:rPr>
          <w:b/>
          <w:bCs/>
          <w:color w:val="auto"/>
          <w:sz w:val="30"/>
          <w:szCs w:val="30"/>
        </w:rPr>
        <w:fldChar w:fldCharType="end"/>
      </w:r>
      <w:r>
        <w:rPr>
          <w:rFonts w:cs="Times New Roman"/>
          <w:b/>
          <w:bCs/>
          <w:color w:val="auto"/>
          <w:sz w:val="30"/>
          <w:szCs w:val="30"/>
        </w:rPr>
        <w:fldChar w:fldCharType="end"/>
      </w:r>
    </w:p>
    <w:p>
      <w:pPr>
        <w:pStyle w:val="12"/>
        <w:tabs>
          <w:tab w:val="right" w:leader="dot" w:pos="8306"/>
        </w:tabs>
        <w:rPr>
          <w:b/>
          <w:bCs/>
          <w:color w:val="auto"/>
          <w:sz w:val="30"/>
          <w:szCs w:val="30"/>
        </w:rPr>
      </w:pPr>
      <w:r>
        <w:rPr>
          <w:rFonts w:cs="Times New Roman"/>
          <w:b/>
          <w:bCs/>
          <w:color w:val="auto"/>
          <w:sz w:val="30"/>
          <w:szCs w:val="30"/>
        </w:rPr>
        <w:fldChar w:fldCharType="begin"/>
      </w:r>
      <w:r>
        <w:rPr>
          <w:rFonts w:cs="Times New Roman"/>
          <w:b/>
          <w:bCs/>
          <w:color w:val="auto"/>
          <w:sz w:val="30"/>
          <w:szCs w:val="30"/>
        </w:rPr>
        <w:instrText xml:space="preserve"> HYPERLINK \l _Toc5470 </w:instrText>
      </w:r>
      <w:r>
        <w:rPr>
          <w:rFonts w:cs="Times New Roman"/>
          <w:b/>
          <w:bCs/>
          <w:color w:val="auto"/>
          <w:sz w:val="30"/>
          <w:szCs w:val="30"/>
        </w:rPr>
        <w:fldChar w:fldCharType="separate"/>
      </w:r>
      <w:r>
        <w:rPr>
          <w:rFonts w:hint="eastAsia" w:ascii="Times New Roman" w:hAnsi="Times New Roman" w:eastAsia="仿宋" w:cs="Times New Roman"/>
          <w:b/>
          <w:bCs/>
          <w:color w:val="auto"/>
          <w:sz w:val="30"/>
          <w:szCs w:val="30"/>
        </w:rPr>
        <w:t>附图19 绥棱县水土流失现状图</w:t>
      </w:r>
      <w:r>
        <w:rPr>
          <w:b/>
          <w:bCs/>
          <w:color w:val="auto"/>
          <w:sz w:val="30"/>
          <w:szCs w:val="30"/>
        </w:rPr>
        <w:tab/>
      </w:r>
      <w:r>
        <w:rPr>
          <w:b/>
          <w:bCs/>
          <w:color w:val="auto"/>
          <w:sz w:val="30"/>
          <w:szCs w:val="30"/>
        </w:rPr>
        <w:fldChar w:fldCharType="begin"/>
      </w:r>
      <w:r>
        <w:rPr>
          <w:b/>
          <w:bCs/>
          <w:color w:val="auto"/>
          <w:sz w:val="30"/>
          <w:szCs w:val="30"/>
        </w:rPr>
        <w:instrText xml:space="preserve"> PAGEREF _Toc5470 \h </w:instrText>
      </w:r>
      <w:r>
        <w:rPr>
          <w:b/>
          <w:bCs/>
          <w:color w:val="auto"/>
          <w:sz w:val="30"/>
          <w:szCs w:val="30"/>
        </w:rPr>
        <w:fldChar w:fldCharType="separate"/>
      </w:r>
      <w:r>
        <w:rPr>
          <w:b/>
          <w:bCs/>
          <w:color w:val="auto"/>
          <w:sz w:val="30"/>
          <w:szCs w:val="30"/>
        </w:rPr>
        <w:t>125</w:t>
      </w:r>
      <w:r>
        <w:rPr>
          <w:b/>
          <w:bCs/>
          <w:color w:val="auto"/>
          <w:sz w:val="30"/>
          <w:szCs w:val="30"/>
        </w:rPr>
        <w:fldChar w:fldCharType="end"/>
      </w:r>
      <w:r>
        <w:rPr>
          <w:rFonts w:cs="Times New Roman"/>
          <w:b/>
          <w:bCs/>
          <w:color w:val="auto"/>
          <w:sz w:val="30"/>
          <w:szCs w:val="30"/>
        </w:rPr>
        <w:fldChar w:fldCharType="end"/>
      </w:r>
    </w:p>
    <w:p>
      <w:pPr>
        <w:pStyle w:val="12"/>
        <w:tabs>
          <w:tab w:val="right" w:leader="dot" w:pos="8306"/>
        </w:tabs>
        <w:rPr>
          <w:b/>
          <w:bCs/>
          <w:color w:val="auto"/>
          <w:sz w:val="30"/>
          <w:szCs w:val="30"/>
        </w:rPr>
      </w:pPr>
      <w:r>
        <w:rPr>
          <w:rFonts w:cs="Times New Roman"/>
          <w:b/>
          <w:bCs/>
          <w:color w:val="auto"/>
          <w:sz w:val="30"/>
          <w:szCs w:val="30"/>
        </w:rPr>
        <w:fldChar w:fldCharType="begin"/>
      </w:r>
      <w:r>
        <w:rPr>
          <w:rFonts w:cs="Times New Roman"/>
          <w:b/>
          <w:bCs/>
          <w:color w:val="auto"/>
          <w:sz w:val="30"/>
          <w:szCs w:val="30"/>
        </w:rPr>
        <w:instrText xml:space="preserve"> HYPERLINK \l _Toc28156 </w:instrText>
      </w:r>
      <w:r>
        <w:rPr>
          <w:rFonts w:cs="Times New Roman"/>
          <w:b/>
          <w:bCs/>
          <w:color w:val="auto"/>
          <w:sz w:val="30"/>
          <w:szCs w:val="30"/>
        </w:rPr>
        <w:fldChar w:fldCharType="separate"/>
      </w:r>
      <w:r>
        <w:rPr>
          <w:rFonts w:hint="eastAsia" w:ascii="Times New Roman" w:hAnsi="Times New Roman" w:eastAsia="仿宋" w:cs="Times New Roman"/>
          <w:b/>
          <w:bCs/>
          <w:color w:val="auto"/>
          <w:sz w:val="30"/>
          <w:szCs w:val="30"/>
        </w:rPr>
        <w:t>附图20 绥棱县湿地生境现状图</w:t>
      </w:r>
      <w:r>
        <w:rPr>
          <w:b/>
          <w:bCs/>
          <w:color w:val="auto"/>
          <w:sz w:val="30"/>
          <w:szCs w:val="30"/>
        </w:rPr>
        <w:tab/>
      </w:r>
      <w:r>
        <w:rPr>
          <w:b/>
          <w:bCs/>
          <w:color w:val="auto"/>
          <w:sz w:val="30"/>
          <w:szCs w:val="30"/>
        </w:rPr>
        <w:fldChar w:fldCharType="begin"/>
      </w:r>
      <w:r>
        <w:rPr>
          <w:b/>
          <w:bCs/>
          <w:color w:val="auto"/>
          <w:sz w:val="30"/>
          <w:szCs w:val="30"/>
        </w:rPr>
        <w:instrText xml:space="preserve"> PAGEREF _Toc28156 \h </w:instrText>
      </w:r>
      <w:r>
        <w:rPr>
          <w:b/>
          <w:bCs/>
          <w:color w:val="auto"/>
          <w:sz w:val="30"/>
          <w:szCs w:val="30"/>
        </w:rPr>
        <w:fldChar w:fldCharType="separate"/>
      </w:r>
      <w:r>
        <w:rPr>
          <w:b/>
          <w:bCs/>
          <w:color w:val="auto"/>
          <w:sz w:val="30"/>
          <w:szCs w:val="30"/>
        </w:rPr>
        <w:t>126</w:t>
      </w:r>
      <w:r>
        <w:rPr>
          <w:b/>
          <w:bCs/>
          <w:color w:val="auto"/>
          <w:sz w:val="30"/>
          <w:szCs w:val="30"/>
        </w:rPr>
        <w:fldChar w:fldCharType="end"/>
      </w:r>
      <w:r>
        <w:rPr>
          <w:rFonts w:cs="Times New Roman"/>
          <w:b/>
          <w:bCs/>
          <w:color w:val="auto"/>
          <w:sz w:val="30"/>
          <w:szCs w:val="30"/>
        </w:rPr>
        <w:fldChar w:fldCharType="end"/>
      </w:r>
    </w:p>
    <w:p>
      <w:pPr>
        <w:pStyle w:val="12"/>
        <w:tabs>
          <w:tab w:val="right" w:leader="dot" w:pos="8306"/>
        </w:tabs>
        <w:rPr>
          <w:b/>
          <w:bCs/>
          <w:color w:val="auto"/>
          <w:sz w:val="30"/>
          <w:szCs w:val="30"/>
        </w:rPr>
      </w:pPr>
      <w:r>
        <w:rPr>
          <w:rFonts w:cs="Times New Roman"/>
          <w:b/>
          <w:bCs/>
          <w:color w:val="auto"/>
          <w:sz w:val="30"/>
          <w:szCs w:val="30"/>
        </w:rPr>
        <w:fldChar w:fldCharType="begin"/>
      </w:r>
      <w:r>
        <w:rPr>
          <w:rFonts w:cs="Times New Roman"/>
          <w:b/>
          <w:bCs/>
          <w:color w:val="auto"/>
          <w:sz w:val="30"/>
          <w:szCs w:val="30"/>
        </w:rPr>
        <w:instrText xml:space="preserve"> HYPERLINK \l _Toc4817 </w:instrText>
      </w:r>
      <w:r>
        <w:rPr>
          <w:rFonts w:cs="Times New Roman"/>
          <w:b/>
          <w:bCs/>
          <w:color w:val="auto"/>
          <w:sz w:val="30"/>
          <w:szCs w:val="30"/>
        </w:rPr>
        <w:fldChar w:fldCharType="separate"/>
      </w:r>
      <w:r>
        <w:rPr>
          <w:rFonts w:hint="eastAsia" w:ascii="Times New Roman" w:hAnsi="Times New Roman" w:eastAsia="仿宋" w:cs="Times New Roman"/>
          <w:b/>
          <w:bCs/>
          <w:color w:val="auto"/>
          <w:sz w:val="30"/>
          <w:szCs w:val="30"/>
        </w:rPr>
        <w:t>附图21 绥棱县矿山分布现状图</w:t>
      </w:r>
      <w:r>
        <w:rPr>
          <w:b/>
          <w:bCs/>
          <w:color w:val="auto"/>
          <w:sz w:val="30"/>
          <w:szCs w:val="30"/>
        </w:rPr>
        <w:tab/>
      </w:r>
      <w:r>
        <w:rPr>
          <w:b/>
          <w:bCs/>
          <w:color w:val="auto"/>
          <w:sz w:val="30"/>
          <w:szCs w:val="30"/>
        </w:rPr>
        <w:fldChar w:fldCharType="begin"/>
      </w:r>
      <w:r>
        <w:rPr>
          <w:b/>
          <w:bCs/>
          <w:color w:val="auto"/>
          <w:sz w:val="30"/>
          <w:szCs w:val="30"/>
        </w:rPr>
        <w:instrText xml:space="preserve"> PAGEREF _Toc4817 \h </w:instrText>
      </w:r>
      <w:r>
        <w:rPr>
          <w:b/>
          <w:bCs/>
          <w:color w:val="auto"/>
          <w:sz w:val="30"/>
          <w:szCs w:val="30"/>
        </w:rPr>
        <w:fldChar w:fldCharType="separate"/>
      </w:r>
      <w:r>
        <w:rPr>
          <w:b/>
          <w:bCs/>
          <w:color w:val="auto"/>
          <w:sz w:val="30"/>
          <w:szCs w:val="30"/>
        </w:rPr>
        <w:t>127</w:t>
      </w:r>
      <w:r>
        <w:rPr>
          <w:b/>
          <w:bCs/>
          <w:color w:val="auto"/>
          <w:sz w:val="30"/>
          <w:szCs w:val="30"/>
        </w:rPr>
        <w:fldChar w:fldCharType="end"/>
      </w:r>
      <w:r>
        <w:rPr>
          <w:rFonts w:cs="Times New Roman"/>
          <w:b/>
          <w:bCs/>
          <w:color w:val="auto"/>
          <w:sz w:val="30"/>
          <w:szCs w:val="30"/>
        </w:rPr>
        <w:fldChar w:fldCharType="end"/>
      </w:r>
    </w:p>
    <w:p>
      <w:pPr>
        <w:pStyle w:val="12"/>
        <w:tabs>
          <w:tab w:val="right" w:leader="dot" w:pos="8306"/>
        </w:tabs>
        <w:rPr>
          <w:b/>
          <w:bCs/>
          <w:color w:val="auto"/>
          <w:sz w:val="30"/>
          <w:szCs w:val="30"/>
        </w:rPr>
      </w:pPr>
      <w:r>
        <w:rPr>
          <w:rFonts w:cs="Times New Roman"/>
          <w:b/>
          <w:bCs/>
          <w:color w:val="auto"/>
          <w:sz w:val="30"/>
          <w:szCs w:val="30"/>
        </w:rPr>
        <w:fldChar w:fldCharType="begin"/>
      </w:r>
      <w:r>
        <w:rPr>
          <w:rFonts w:cs="Times New Roman"/>
          <w:b/>
          <w:bCs/>
          <w:color w:val="auto"/>
          <w:sz w:val="30"/>
          <w:szCs w:val="30"/>
        </w:rPr>
        <w:instrText xml:space="preserve"> HYPERLINK \l _Toc25211 </w:instrText>
      </w:r>
      <w:r>
        <w:rPr>
          <w:rFonts w:cs="Times New Roman"/>
          <w:b/>
          <w:bCs/>
          <w:color w:val="auto"/>
          <w:sz w:val="30"/>
          <w:szCs w:val="30"/>
        </w:rPr>
        <w:fldChar w:fldCharType="separate"/>
      </w:r>
      <w:r>
        <w:rPr>
          <w:rFonts w:hint="eastAsia" w:ascii="Times New Roman" w:hAnsi="Times New Roman" w:eastAsia="仿宋" w:cs="Times New Roman"/>
          <w:b/>
          <w:bCs/>
          <w:color w:val="auto"/>
          <w:sz w:val="30"/>
          <w:szCs w:val="30"/>
        </w:rPr>
        <w:t>附图22 生态功能保护修复分区</w:t>
      </w:r>
      <w:r>
        <w:rPr>
          <w:b/>
          <w:bCs/>
          <w:color w:val="auto"/>
          <w:sz w:val="30"/>
          <w:szCs w:val="30"/>
        </w:rPr>
        <w:tab/>
      </w:r>
      <w:r>
        <w:rPr>
          <w:b/>
          <w:bCs/>
          <w:color w:val="auto"/>
          <w:sz w:val="30"/>
          <w:szCs w:val="30"/>
        </w:rPr>
        <w:fldChar w:fldCharType="begin"/>
      </w:r>
      <w:r>
        <w:rPr>
          <w:b/>
          <w:bCs/>
          <w:color w:val="auto"/>
          <w:sz w:val="30"/>
          <w:szCs w:val="30"/>
        </w:rPr>
        <w:instrText xml:space="preserve"> PAGEREF _Toc25211 \h </w:instrText>
      </w:r>
      <w:r>
        <w:rPr>
          <w:b/>
          <w:bCs/>
          <w:color w:val="auto"/>
          <w:sz w:val="30"/>
          <w:szCs w:val="30"/>
        </w:rPr>
        <w:fldChar w:fldCharType="separate"/>
      </w:r>
      <w:r>
        <w:rPr>
          <w:b/>
          <w:bCs/>
          <w:color w:val="auto"/>
          <w:sz w:val="30"/>
          <w:szCs w:val="30"/>
        </w:rPr>
        <w:t>128</w:t>
      </w:r>
      <w:r>
        <w:rPr>
          <w:b/>
          <w:bCs/>
          <w:color w:val="auto"/>
          <w:sz w:val="30"/>
          <w:szCs w:val="30"/>
        </w:rPr>
        <w:fldChar w:fldCharType="end"/>
      </w:r>
      <w:r>
        <w:rPr>
          <w:rFonts w:cs="Times New Roman"/>
          <w:b/>
          <w:bCs/>
          <w:color w:val="auto"/>
          <w:sz w:val="30"/>
          <w:szCs w:val="30"/>
        </w:rPr>
        <w:fldChar w:fldCharType="end"/>
      </w:r>
    </w:p>
    <w:p>
      <w:pPr>
        <w:pStyle w:val="12"/>
        <w:tabs>
          <w:tab w:val="right" w:leader="dot" w:pos="8306"/>
        </w:tabs>
        <w:rPr>
          <w:b/>
          <w:bCs/>
          <w:color w:val="auto"/>
          <w:sz w:val="30"/>
          <w:szCs w:val="30"/>
        </w:rPr>
      </w:pPr>
      <w:r>
        <w:rPr>
          <w:rFonts w:cs="Times New Roman"/>
          <w:b/>
          <w:bCs/>
          <w:color w:val="auto"/>
          <w:sz w:val="30"/>
          <w:szCs w:val="30"/>
        </w:rPr>
        <w:fldChar w:fldCharType="begin"/>
      </w:r>
      <w:r>
        <w:rPr>
          <w:rFonts w:cs="Times New Roman"/>
          <w:b/>
          <w:bCs/>
          <w:color w:val="auto"/>
          <w:sz w:val="30"/>
          <w:szCs w:val="30"/>
        </w:rPr>
        <w:instrText xml:space="preserve"> HYPERLINK \l _Toc6766 </w:instrText>
      </w:r>
      <w:r>
        <w:rPr>
          <w:rFonts w:cs="Times New Roman"/>
          <w:b/>
          <w:bCs/>
          <w:color w:val="auto"/>
          <w:sz w:val="30"/>
          <w:szCs w:val="30"/>
        </w:rPr>
        <w:fldChar w:fldCharType="separate"/>
      </w:r>
      <w:r>
        <w:rPr>
          <w:rFonts w:hint="eastAsia" w:ascii="Times New Roman" w:hAnsi="Times New Roman" w:eastAsia="仿宋" w:cs="Times New Roman"/>
          <w:b/>
          <w:bCs/>
          <w:color w:val="auto"/>
          <w:sz w:val="30"/>
          <w:szCs w:val="30"/>
        </w:rPr>
        <w:t>附图2</w:t>
      </w:r>
      <w:r>
        <w:rPr>
          <w:rFonts w:hint="eastAsia" w:ascii="Times New Roman" w:hAnsi="Times New Roman" w:eastAsia="仿宋" w:cs="Times New Roman"/>
          <w:b/>
          <w:bCs/>
          <w:color w:val="auto"/>
          <w:sz w:val="30"/>
          <w:szCs w:val="30"/>
          <w:lang w:val="en-US" w:eastAsia="zh-CN"/>
        </w:rPr>
        <w:t>3</w:t>
      </w:r>
      <w:r>
        <w:rPr>
          <w:rFonts w:hint="eastAsia" w:ascii="Times New Roman" w:hAnsi="Times New Roman" w:eastAsia="仿宋" w:cs="Times New Roman"/>
          <w:b/>
          <w:bCs/>
          <w:color w:val="auto"/>
          <w:sz w:val="30"/>
          <w:szCs w:val="30"/>
        </w:rPr>
        <w:t xml:space="preserve"> </w:t>
      </w:r>
      <w:r>
        <w:rPr>
          <w:rFonts w:hint="eastAsia" w:ascii="Times New Roman" w:hAnsi="Times New Roman" w:eastAsia="仿宋" w:cs="Times New Roman"/>
          <w:b/>
          <w:bCs/>
          <w:color w:val="auto"/>
          <w:sz w:val="30"/>
          <w:szCs w:val="30"/>
          <w:lang w:val="en-US" w:eastAsia="zh-CN"/>
        </w:rPr>
        <w:t>重点工程分布图（2021年）</w:t>
      </w:r>
      <w:r>
        <w:rPr>
          <w:b/>
          <w:bCs/>
          <w:color w:val="auto"/>
          <w:sz w:val="30"/>
          <w:szCs w:val="30"/>
        </w:rPr>
        <w:tab/>
      </w:r>
      <w:r>
        <w:rPr>
          <w:b/>
          <w:bCs/>
          <w:color w:val="auto"/>
          <w:sz w:val="30"/>
          <w:szCs w:val="30"/>
        </w:rPr>
        <w:fldChar w:fldCharType="begin"/>
      </w:r>
      <w:r>
        <w:rPr>
          <w:b/>
          <w:bCs/>
          <w:color w:val="auto"/>
          <w:sz w:val="30"/>
          <w:szCs w:val="30"/>
        </w:rPr>
        <w:instrText xml:space="preserve"> PAGEREF _Toc6766 \h </w:instrText>
      </w:r>
      <w:r>
        <w:rPr>
          <w:b/>
          <w:bCs/>
          <w:color w:val="auto"/>
          <w:sz w:val="30"/>
          <w:szCs w:val="30"/>
        </w:rPr>
        <w:fldChar w:fldCharType="separate"/>
      </w:r>
      <w:r>
        <w:rPr>
          <w:b/>
          <w:bCs/>
          <w:color w:val="auto"/>
          <w:sz w:val="30"/>
          <w:szCs w:val="30"/>
        </w:rPr>
        <w:t>129</w:t>
      </w:r>
      <w:r>
        <w:rPr>
          <w:b/>
          <w:bCs/>
          <w:color w:val="auto"/>
          <w:sz w:val="30"/>
          <w:szCs w:val="30"/>
        </w:rPr>
        <w:fldChar w:fldCharType="end"/>
      </w:r>
      <w:r>
        <w:rPr>
          <w:rFonts w:cs="Times New Roman"/>
          <w:b/>
          <w:bCs/>
          <w:color w:val="auto"/>
          <w:sz w:val="30"/>
          <w:szCs w:val="30"/>
        </w:rPr>
        <w:fldChar w:fldCharType="end"/>
      </w:r>
    </w:p>
    <w:p>
      <w:pPr>
        <w:pStyle w:val="12"/>
        <w:tabs>
          <w:tab w:val="right" w:leader="dot" w:pos="8306"/>
        </w:tabs>
        <w:rPr>
          <w:b/>
          <w:bCs/>
          <w:color w:val="auto"/>
          <w:sz w:val="30"/>
          <w:szCs w:val="30"/>
        </w:rPr>
      </w:pPr>
      <w:r>
        <w:rPr>
          <w:rFonts w:cs="Times New Roman"/>
          <w:b/>
          <w:bCs/>
          <w:color w:val="auto"/>
          <w:sz w:val="30"/>
          <w:szCs w:val="30"/>
        </w:rPr>
        <w:fldChar w:fldCharType="begin"/>
      </w:r>
      <w:r>
        <w:rPr>
          <w:rFonts w:cs="Times New Roman"/>
          <w:b/>
          <w:bCs/>
          <w:color w:val="auto"/>
          <w:sz w:val="30"/>
          <w:szCs w:val="30"/>
        </w:rPr>
        <w:instrText xml:space="preserve"> HYPERLINK \l _Toc6509 </w:instrText>
      </w:r>
      <w:r>
        <w:rPr>
          <w:rFonts w:cs="Times New Roman"/>
          <w:b/>
          <w:bCs/>
          <w:color w:val="auto"/>
          <w:sz w:val="30"/>
          <w:szCs w:val="30"/>
        </w:rPr>
        <w:fldChar w:fldCharType="separate"/>
      </w:r>
      <w:r>
        <w:rPr>
          <w:rFonts w:hint="eastAsia" w:ascii="Times New Roman" w:hAnsi="Times New Roman" w:eastAsia="仿宋" w:cs="Times New Roman"/>
          <w:b/>
          <w:bCs/>
          <w:color w:val="auto"/>
          <w:sz w:val="30"/>
          <w:szCs w:val="30"/>
        </w:rPr>
        <w:t>附图2</w:t>
      </w:r>
      <w:r>
        <w:rPr>
          <w:rFonts w:hint="eastAsia" w:ascii="Times New Roman" w:hAnsi="Times New Roman" w:eastAsia="仿宋" w:cs="Times New Roman"/>
          <w:b/>
          <w:bCs/>
          <w:color w:val="auto"/>
          <w:sz w:val="30"/>
          <w:szCs w:val="30"/>
          <w:lang w:val="en-US" w:eastAsia="zh-CN"/>
        </w:rPr>
        <w:t>4</w:t>
      </w:r>
      <w:r>
        <w:rPr>
          <w:rFonts w:hint="eastAsia" w:ascii="Times New Roman" w:hAnsi="Times New Roman" w:eastAsia="仿宋" w:cs="Times New Roman"/>
          <w:b/>
          <w:bCs/>
          <w:color w:val="auto"/>
          <w:sz w:val="30"/>
          <w:szCs w:val="30"/>
        </w:rPr>
        <w:t xml:space="preserve"> </w:t>
      </w:r>
      <w:r>
        <w:rPr>
          <w:rFonts w:hint="eastAsia" w:ascii="Times New Roman" w:hAnsi="Times New Roman" w:eastAsia="仿宋" w:cs="Times New Roman"/>
          <w:b/>
          <w:bCs/>
          <w:color w:val="auto"/>
          <w:sz w:val="30"/>
          <w:szCs w:val="30"/>
          <w:lang w:val="en-US" w:eastAsia="zh-CN"/>
        </w:rPr>
        <w:t>重点工程分布图（2022年）</w:t>
      </w:r>
      <w:r>
        <w:rPr>
          <w:b/>
          <w:bCs/>
          <w:color w:val="auto"/>
          <w:sz w:val="30"/>
          <w:szCs w:val="30"/>
        </w:rPr>
        <w:tab/>
      </w:r>
      <w:r>
        <w:rPr>
          <w:b/>
          <w:bCs/>
          <w:color w:val="auto"/>
          <w:sz w:val="30"/>
          <w:szCs w:val="30"/>
        </w:rPr>
        <w:fldChar w:fldCharType="begin"/>
      </w:r>
      <w:r>
        <w:rPr>
          <w:b/>
          <w:bCs/>
          <w:color w:val="auto"/>
          <w:sz w:val="30"/>
          <w:szCs w:val="30"/>
        </w:rPr>
        <w:instrText xml:space="preserve"> PAGEREF _Toc6509 \h </w:instrText>
      </w:r>
      <w:r>
        <w:rPr>
          <w:b/>
          <w:bCs/>
          <w:color w:val="auto"/>
          <w:sz w:val="30"/>
          <w:szCs w:val="30"/>
        </w:rPr>
        <w:fldChar w:fldCharType="separate"/>
      </w:r>
      <w:r>
        <w:rPr>
          <w:b/>
          <w:bCs/>
          <w:color w:val="auto"/>
          <w:sz w:val="30"/>
          <w:szCs w:val="30"/>
        </w:rPr>
        <w:t>130</w:t>
      </w:r>
      <w:r>
        <w:rPr>
          <w:b/>
          <w:bCs/>
          <w:color w:val="auto"/>
          <w:sz w:val="30"/>
          <w:szCs w:val="30"/>
        </w:rPr>
        <w:fldChar w:fldCharType="end"/>
      </w:r>
      <w:r>
        <w:rPr>
          <w:rFonts w:cs="Times New Roman"/>
          <w:b/>
          <w:bCs/>
          <w:color w:val="auto"/>
          <w:sz w:val="30"/>
          <w:szCs w:val="30"/>
        </w:rPr>
        <w:fldChar w:fldCharType="end"/>
      </w:r>
    </w:p>
    <w:p>
      <w:pPr>
        <w:pStyle w:val="12"/>
        <w:tabs>
          <w:tab w:val="right" w:leader="dot" w:pos="8306"/>
        </w:tabs>
        <w:rPr>
          <w:b/>
          <w:bCs/>
          <w:color w:val="auto"/>
          <w:sz w:val="30"/>
          <w:szCs w:val="30"/>
        </w:rPr>
      </w:pPr>
      <w:r>
        <w:rPr>
          <w:rFonts w:cs="Times New Roman"/>
          <w:b/>
          <w:bCs/>
          <w:color w:val="auto"/>
          <w:sz w:val="30"/>
          <w:szCs w:val="30"/>
        </w:rPr>
        <w:fldChar w:fldCharType="begin"/>
      </w:r>
      <w:r>
        <w:rPr>
          <w:rFonts w:cs="Times New Roman"/>
          <w:b/>
          <w:bCs/>
          <w:color w:val="auto"/>
          <w:sz w:val="30"/>
          <w:szCs w:val="30"/>
        </w:rPr>
        <w:instrText xml:space="preserve"> HYPERLINK \l _Toc12922 </w:instrText>
      </w:r>
      <w:r>
        <w:rPr>
          <w:rFonts w:cs="Times New Roman"/>
          <w:b/>
          <w:bCs/>
          <w:color w:val="auto"/>
          <w:sz w:val="30"/>
          <w:szCs w:val="30"/>
        </w:rPr>
        <w:fldChar w:fldCharType="separate"/>
      </w:r>
      <w:r>
        <w:rPr>
          <w:rFonts w:hint="eastAsia" w:ascii="Times New Roman" w:hAnsi="Times New Roman" w:eastAsia="仿宋" w:cs="Times New Roman"/>
          <w:b/>
          <w:bCs/>
          <w:color w:val="auto"/>
          <w:sz w:val="30"/>
          <w:szCs w:val="30"/>
        </w:rPr>
        <w:t>附图2</w:t>
      </w:r>
      <w:r>
        <w:rPr>
          <w:rFonts w:hint="eastAsia" w:ascii="Times New Roman" w:hAnsi="Times New Roman" w:eastAsia="仿宋" w:cs="Times New Roman"/>
          <w:b/>
          <w:bCs/>
          <w:color w:val="auto"/>
          <w:sz w:val="30"/>
          <w:szCs w:val="30"/>
          <w:lang w:val="en-US" w:eastAsia="zh-CN"/>
        </w:rPr>
        <w:t>5</w:t>
      </w:r>
      <w:r>
        <w:rPr>
          <w:rFonts w:hint="eastAsia" w:ascii="Times New Roman" w:hAnsi="Times New Roman" w:eastAsia="仿宋" w:cs="Times New Roman"/>
          <w:b/>
          <w:bCs/>
          <w:color w:val="auto"/>
          <w:sz w:val="30"/>
          <w:szCs w:val="30"/>
        </w:rPr>
        <w:t xml:space="preserve"> </w:t>
      </w:r>
      <w:r>
        <w:rPr>
          <w:rFonts w:hint="eastAsia" w:ascii="Times New Roman" w:hAnsi="Times New Roman" w:eastAsia="仿宋" w:cs="Times New Roman"/>
          <w:b/>
          <w:bCs/>
          <w:color w:val="auto"/>
          <w:sz w:val="30"/>
          <w:szCs w:val="30"/>
          <w:lang w:val="en-US" w:eastAsia="zh-CN"/>
        </w:rPr>
        <w:t>重点工程分布图（2023年）</w:t>
      </w:r>
      <w:r>
        <w:rPr>
          <w:b/>
          <w:bCs/>
          <w:color w:val="auto"/>
          <w:sz w:val="30"/>
          <w:szCs w:val="30"/>
        </w:rPr>
        <w:tab/>
      </w:r>
      <w:r>
        <w:rPr>
          <w:b/>
          <w:bCs/>
          <w:color w:val="auto"/>
          <w:sz w:val="30"/>
          <w:szCs w:val="30"/>
        </w:rPr>
        <w:fldChar w:fldCharType="begin"/>
      </w:r>
      <w:r>
        <w:rPr>
          <w:b/>
          <w:bCs/>
          <w:color w:val="auto"/>
          <w:sz w:val="30"/>
          <w:szCs w:val="30"/>
        </w:rPr>
        <w:instrText xml:space="preserve"> PAGEREF _Toc12922 \h </w:instrText>
      </w:r>
      <w:r>
        <w:rPr>
          <w:b/>
          <w:bCs/>
          <w:color w:val="auto"/>
          <w:sz w:val="30"/>
          <w:szCs w:val="30"/>
        </w:rPr>
        <w:fldChar w:fldCharType="separate"/>
      </w:r>
      <w:r>
        <w:rPr>
          <w:b/>
          <w:bCs/>
          <w:color w:val="auto"/>
          <w:sz w:val="30"/>
          <w:szCs w:val="30"/>
        </w:rPr>
        <w:t>131</w:t>
      </w:r>
      <w:r>
        <w:rPr>
          <w:b/>
          <w:bCs/>
          <w:color w:val="auto"/>
          <w:sz w:val="30"/>
          <w:szCs w:val="30"/>
        </w:rPr>
        <w:fldChar w:fldCharType="end"/>
      </w:r>
      <w:r>
        <w:rPr>
          <w:rFonts w:cs="Times New Roman"/>
          <w:b/>
          <w:bCs/>
          <w:color w:val="auto"/>
          <w:sz w:val="30"/>
          <w:szCs w:val="30"/>
        </w:rPr>
        <w:fldChar w:fldCharType="end"/>
      </w:r>
    </w:p>
    <w:p>
      <w:pPr>
        <w:pStyle w:val="12"/>
        <w:tabs>
          <w:tab w:val="right" w:leader="dot" w:pos="8306"/>
        </w:tabs>
        <w:rPr>
          <w:b/>
          <w:bCs/>
          <w:color w:val="auto"/>
          <w:sz w:val="30"/>
          <w:szCs w:val="30"/>
        </w:rPr>
      </w:pPr>
      <w:r>
        <w:rPr>
          <w:rFonts w:cs="Times New Roman"/>
          <w:b/>
          <w:bCs/>
          <w:color w:val="auto"/>
          <w:sz w:val="30"/>
          <w:szCs w:val="30"/>
        </w:rPr>
        <w:fldChar w:fldCharType="begin"/>
      </w:r>
      <w:r>
        <w:rPr>
          <w:rFonts w:cs="Times New Roman"/>
          <w:b/>
          <w:bCs/>
          <w:color w:val="auto"/>
          <w:sz w:val="30"/>
          <w:szCs w:val="30"/>
        </w:rPr>
        <w:instrText xml:space="preserve"> HYPERLINK \l _Toc32337 </w:instrText>
      </w:r>
      <w:r>
        <w:rPr>
          <w:rFonts w:cs="Times New Roman"/>
          <w:b/>
          <w:bCs/>
          <w:color w:val="auto"/>
          <w:sz w:val="30"/>
          <w:szCs w:val="30"/>
        </w:rPr>
        <w:fldChar w:fldCharType="separate"/>
      </w:r>
      <w:r>
        <w:rPr>
          <w:rFonts w:hint="eastAsia" w:ascii="Times New Roman" w:hAnsi="Times New Roman" w:eastAsia="仿宋" w:cs="Times New Roman"/>
          <w:b/>
          <w:bCs/>
          <w:color w:val="auto"/>
          <w:sz w:val="30"/>
          <w:szCs w:val="30"/>
        </w:rPr>
        <w:t>附图2</w:t>
      </w:r>
      <w:r>
        <w:rPr>
          <w:rFonts w:hint="eastAsia" w:ascii="Times New Roman" w:hAnsi="Times New Roman" w:eastAsia="仿宋" w:cs="Times New Roman"/>
          <w:b/>
          <w:bCs/>
          <w:color w:val="auto"/>
          <w:sz w:val="30"/>
          <w:szCs w:val="30"/>
          <w:lang w:val="en-US" w:eastAsia="zh-CN"/>
        </w:rPr>
        <w:t>6</w:t>
      </w:r>
      <w:r>
        <w:rPr>
          <w:rFonts w:hint="eastAsia" w:ascii="Times New Roman" w:hAnsi="Times New Roman" w:eastAsia="仿宋" w:cs="Times New Roman"/>
          <w:b/>
          <w:bCs/>
          <w:color w:val="auto"/>
          <w:sz w:val="30"/>
          <w:szCs w:val="30"/>
        </w:rPr>
        <w:t xml:space="preserve"> </w:t>
      </w:r>
      <w:r>
        <w:rPr>
          <w:rFonts w:hint="eastAsia" w:ascii="Times New Roman" w:hAnsi="Times New Roman" w:eastAsia="仿宋" w:cs="Times New Roman"/>
          <w:b/>
          <w:bCs/>
          <w:color w:val="auto"/>
          <w:sz w:val="30"/>
          <w:szCs w:val="30"/>
          <w:lang w:val="en-US" w:eastAsia="zh-CN"/>
        </w:rPr>
        <w:t>重点工程分布图（2024年）</w:t>
      </w:r>
      <w:r>
        <w:rPr>
          <w:b/>
          <w:bCs/>
          <w:color w:val="auto"/>
          <w:sz w:val="30"/>
          <w:szCs w:val="30"/>
        </w:rPr>
        <w:tab/>
      </w:r>
      <w:r>
        <w:rPr>
          <w:b/>
          <w:bCs/>
          <w:color w:val="auto"/>
          <w:sz w:val="30"/>
          <w:szCs w:val="30"/>
        </w:rPr>
        <w:fldChar w:fldCharType="begin"/>
      </w:r>
      <w:r>
        <w:rPr>
          <w:b/>
          <w:bCs/>
          <w:color w:val="auto"/>
          <w:sz w:val="30"/>
          <w:szCs w:val="30"/>
        </w:rPr>
        <w:instrText xml:space="preserve"> PAGEREF _Toc32337 \h </w:instrText>
      </w:r>
      <w:r>
        <w:rPr>
          <w:b/>
          <w:bCs/>
          <w:color w:val="auto"/>
          <w:sz w:val="30"/>
          <w:szCs w:val="30"/>
        </w:rPr>
        <w:fldChar w:fldCharType="separate"/>
      </w:r>
      <w:r>
        <w:rPr>
          <w:b/>
          <w:bCs/>
          <w:color w:val="auto"/>
          <w:sz w:val="30"/>
          <w:szCs w:val="30"/>
        </w:rPr>
        <w:t>132</w:t>
      </w:r>
      <w:r>
        <w:rPr>
          <w:b/>
          <w:bCs/>
          <w:color w:val="auto"/>
          <w:sz w:val="30"/>
          <w:szCs w:val="30"/>
        </w:rPr>
        <w:fldChar w:fldCharType="end"/>
      </w:r>
      <w:r>
        <w:rPr>
          <w:rFonts w:cs="Times New Roman"/>
          <w:b/>
          <w:bCs/>
          <w:color w:val="auto"/>
          <w:sz w:val="30"/>
          <w:szCs w:val="30"/>
        </w:rPr>
        <w:fldChar w:fldCharType="end"/>
      </w:r>
    </w:p>
    <w:p>
      <w:pPr>
        <w:pStyle w:val="12"/>
        <w:tabs>
          <w:tab w:val="right" w:leader="dot" w:pos="8306"/>
        </w:tabs>
        <w:rPr>
          <w:b/>
          <w:bCs/>
          <w:color w:val="auto"/>
          <w:sz w:val="30"/>
          <w:szCs w:val="30"/>
        </w:rPr>
      </w:pPr>
      <w:r>
        <w:rPr>
          <w:rFonts w:cs="Times New Roman"/>
          <w:b/>
          <w:bCs/>
          <w:color w:val="auto"/>
          <w:sz w:val="30"/>
          <w:szCs w:val="30"/>
        </w:rPr>
        <w:fldChar w:fldCharType="begin"/>
      </w:r>
      <w:r>
        <w:rPr>
          <w:rFonts w:cs="Times New Roman"/>
          <w:b/>
          <w:bCs/>
          <w:color w:val="auto"/>
          <w:sz w:val="30"/>
          <w:szCs w:val="30"/>
        </w:rPr>
        <w:instrText xml:space="preserve"> HYPERLINK \l _Toc28520 </w:instrText>
      </w:r>
      <w:r>
        <w:rPr>
          <w:rFonts w:cs="Times New Roman"/>
          <w:b/>
          <w:bCs/>
          <w:color w:val="auto"/>
          <w:sz w:val="30"/>
          <w:szCs w:val="30"/>
        </w:rPr>
        <w:fldChar w:fldCharType="separate"/>
      </w:r>
      <w:r>
        <w:rPr>
          <w:rFonts w:hint="eastAsia" w:ascii="Times New Roman" w:hAnsi="Times New Roman" w:eastAsia="仿宋" w:cs="Times New Roman"/>
          <w:b/>
          <w:bCs/>
          <w:color w:val="auto"/>
          <w:sz w:val="30"/>
          <w:szCs w:val="30"/>
        </w:rPr>
        <w:t>附图2</w:t>
      </w:r>
      <w:r>
        <w:rPr>
          <w:rFonts w:hint="eastAsia" w:ascii="Times New Roman" w:hAnsi="Times New Roman" w:eastAsia="仿宋" w:cs="Times New Roman"/>
          <w:b/>
          <w:bCs/>
          <w:color w:val="auto"/>
          <w:sz w:val="30"/>
          <w:szCs w:val="30"/>
          <w:lang w:val="en-US" w:eastAsia="zh-CN"/>
        </w:rPr>
        <w:t>7</w:t>
      </w:r>
      <w:r>
        <w:rPr>
          <w:rFonts w:hint="eastAsia" w:ascii="Times New Roman" w:hAnsi="Times New Roman" w:eastAsia="仿宋" w:cs="Times New Roman"/>
          <w:b/>
          <w:bCs/>
          <w:color w:val="auto"/>
          <w:sz w:val="30"/>
          <w:szCs w:val="30"/>
        </w:rPr>
        <w:t xml:space="preserve"> </w:t>
      </w:r>
      <w:r>
        <w:rPr>
          <w:rFonts w:hint="eastAsia" w:ascii="Times New Roman" w:hAnsi="Times New Roman" w:eastAsia="仿宋" w:cs="Times New Roman"/>
          <w:b/>
          <w:bCs/>
          <w:color w:val="auto"/>
          <w:sz w:val="30"/>
          <w:szCs w:val="30"/>
          <w:lang w:val="en-US" w:eastAsia="zh-CN"/>
        </w:rPr>
        <w:t>重点工程分布图（2025年）</w:t>
      </w:r>
      <w:r>
        <w:rPr>
          <w:b/>
          <w:bCs/>
          <w:color w:val="auto"/>
          <w:sz w:val="30"/>
          <w:szCs w:val="30"/>
        </w:rPr>
        <w:tab/>
      </w:r>
      <w:r>
        <w:rPr>
          <w:b/>
          <w:bCs/>
          <w:color w:val="auto"/>
          <w:sz w:val="30"/>
          <w:szCs w:val="30"/>
        </w:rPr>
        <w:fldChar w:fldCharType="begin"/>
      </w:r>
      <w:r>
        <w:rPr>
          <w:b/>
          <w:bCs/>
          <w:color w:val="auto"/>
          <w:sz w:val="30"/>
          <w:szCs w:val="30"/>
        </w:rPr>
        <w:instrText xml:space="preserve"> PAGEREF _Toc28520 \h </w:instrText>
      </w:r>
      <w:r>
        <w:rPr>
          <w:b/>
          <w:bCs/>
          <w:color w:val="auto"/>
          <w:sz w:val="30"/>
          <w:szCs w:val="30"/>
        </w:rPr>
        <w:fldChar w:fldCharType="separate"/>
      </w:r>
      <w:r>
        <w:rPr>
          <w:b/>
          <w:bCs/>
          <w:color w:val="auto"/>
          <w:sz w:val="30"/>
          <w:szCs w:val="30"/>
        </w:rPr>
        <w:t>133</w:t>
      </w:r>
      <w:r>
        <w:rPr>
          <w:b/>
          <w:bCs/>
          <w:color w:val="auto"/>
          <w:sz w:val="30"/>
          <w:szCs w:val="30"/>
        </w:rPr>
        <w:fldChar w:fldCharType="end"/>
      </w:r>
      <w:r>
        <w:rPr>
          <w:rFonts w:cs="Times New Roman"/>
          <w:b/>
          <w:bCs/>
          <w:color w:val="auto"/>
          <w:sz w:val="30"/>
          <w:szCs w:val="30"/>
        </w:rPr>
        <w:fldChar w:fldCharType="end"/>
      </w:r>
    </w:p>
    <w:p>
      <w:pPr>
        <w:ind w:firstLine="0" w:firstLineChars="0"/>
        <w:rPr>
          <w:rFonts w:cs="Times New Roman"/>
          <w:color w:val="auto"/>
        </w:rPr>
        <w:sectPr>
          <w:pgSz w:w="11906" w:h="16838"/>
          <w:pgMar w:top="1440" w:right="1800" w:bottom="1440" w:left="1800" w:header="851" w:footer="992" w:gutter="0"/>
          <w:cols w:space="425" w:num="1"/>
          <w:docGrid w:type="lines" w:linePitch="312" w:charSpace="0"/>
        </w:sectPr>
      </w:pPr>
      <w:r>
        <w:rPr>
          <w:rFonts w:cs="Times New Roman"/>
          <w:b/>
          <w:bCs/>
          <w:color w:val="auto"/>
          <w:sz w:val="30"/>
          <w:szCs w:val="30"/>
        </w:rPr>
        <w:fldChar w:fldCharType="end"/>
      </w:r>
    </w:p>
    <w:p>
      <w:pPr>
        <w:pStyle w:val="2"/>
        <w:ind w:firstLine="0" w:firstLineChars="0"/>
        <w:rPr>
          <w:rFonts w:hint="default" w:ascii="Times New Roman" w:hAnsi="Times New Roman" w:eastAsia="仿宋"/>
          <w:color w:val="auto"/>
        </w:rPr>
      </w:pPr>
      <w:bookmarkStart w:id="9" w:name="_Toc28256"/>
      <w:bookmarkStart w:id="10" w:name="_Toc6615"/>
      <w:bookmarkStart w:id="11" w:name="_Toc19570"/>
      <w:r>
        <w:rPr>
          <w:rFonts w:hint="default" w:ascii="Times New Roman" w:hAnsi="Times New Roman" w:eastAsia="仿宋"/>
          <w:color w:val="auto"/>
        </w:rPr>
        <w:t>1 总则</w:t>
      </w:r>
      <w:bookmarkEnd w:id="9"/>
      <w:bookmarkEnd w:id="10"/>
      <w:bookmarkEnd w:id="11"/>
    </w:p>
    <w:p>
      <w:pPr>
        <w:pStyle w:val="3"/>
        <w:numPr>
          <w:ilvl w:val="1"/>
          <w:numId w:val="1"/>
        </w:numPr>
        <w:ind w:firstLine="643"/>
        <w:rPr>
          <w:rFonts w:ascii="Times New Roman" w:hAnsi="Times New Roman" w:eastAsia="仿宋" w:cs="Times New Roman"/>
          <w:color w:val="auto"/>
        </w:rPr>
      </w:pPr>
      <w:bookmarkStart w:id="12" w:name="_Toc2936"/>
      <w:bookmarkStart w:id="13" w:name="_Toc25838"/>
      <w:bookmarkStart w:id="14" w:name="_Toc2618"/>
      <w:r>
        <w:rPr>
          <w:rFonts w:ascii="Times New Roman" w:hAnsi="Times New Roman" w:eastAsia="仿宋" w:cs="Times New Roman"/>
          <w:color w:val="auto"/>
        </w:rPr>
        <w:t>规划编制背景</w:t>
      </w:r>
      <w:bookmarkEnd w:id="12"/>
      <w:bookmarkEnd w:id="13"/>
      <w:bookmarkEnd w:id="14"/>
    </w:p>
    <w:p>
      <w:pPr>
        <w:pStyle w:val="13"/>
        <w:adjustRightInd w:val="0"/>
        <w:snapToGrid w:val="0"/>
        <w:spacing w:before="0" w:beforeAutospacing="0" w:after="0" w:afterAutospacing="0" w:line="600" w:lineRule="exact"/>
        <w:ind w:firstLine="560"/>
        <w:jc w:val="both"/>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党中央、国务院高度重视生态保护和修复工作，特别是党的十八大以来，党中央将生态文明建设统筹纳入“五位一体”总体布局、新时代基本方略和新发展理念，不断深化生态文明建设理论与实践创新，持续推进重点生态工程建设和突出环境问题治理，有效促进了我国生态环境质量持续好转。党的十九大和十九届五中全会进一步将推动绿色发展、促进人与自然和谐共生作为开启全面建设社会主义现代化国家新征程、基本实现现代化的重要目标，并明确要求坚持山水林田湖草沙系统治理，实施全国重要生态系统保护和修复重大工程。</w:t>
      </w:r>
    </w:p>
    <w:p>
      <w:pPr>
        <w:pStyle w:val="13"/>
        <w:adjustRightInd w:val="0"/>
        <w:snapToGrid w:val="0"/>
        <w:spacing w:before="0" w:beforeAutospacing="0" w:after="0" w:afterAutospacing="0" w:line="600" w:lineRule="exact"/>
        <w:ind w:firstLine="560"/>
        <w:jc w:val="both"/>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为统筹和推进绥棱县山水林田湖草一体化保护修复，加强国家重点生态功能区生态环境保护，推动国家生态屏障建设，根据生态环境部《关于印发＜“十四五”国家重点生态功能区县域生态环境质量检测与评价指标体系及实施细则＞的通知》（环办监测函〔2022〕30号）相关规定，绥棱县政府开展“十四五”期间县域生态保护修复工作，以提升生态系统质量和稳定性，提升生态主导功能。</w:t>
      </w:r>
    </w:p>
    <w:p>
      <w:pPr>
        <w:pStyle w:val="13"/>
        <w:adjustRightInd w:val="0"/>
        <w:snapToGrid w:val="0"/>
        <w:spacing w:before="0" w:beforeAutospacing="0" w:after="0" w:afterAutospacing="0" w:line="600" w:lineRule="exact"/>
        <w:ind w:firstLine="560"/>
        <w:jc w:val="both"/>
        <w:rPr>
          <w:rFonts w:ascii="Times New Roman" w:hAnsi="Times New Roman" w:cs="Times New Roman"/>
          <w:color w:val="auto"/>
        </w:rPr>
      </w:pPr>
      <w:r>
        <w:rPr>
          <w:rFonts w:ascii="Times New Roman" w:hAnsi="Times New Roman" w:eastAsia="仿宋" w:cs="Times New Roman"/>
          <w:color w:val="auto"/>
          <w:sz w:val="28"/>
          <w:szCs w:val="28"/>
        </w:rPr>
        <w:t>《规划》充分承（衔）接《全国重要生态系统保护和修复重大工程总体规划（2021—2035年）》、《绥棱县国民经济和社会发展第十四个五年规划和二〇三五年远景目标纲要》，以习近平新时代中国特色社会主义思想为指导，全面贯彻落实党的十九大和十九届二中、三中、四中和五中全会精神，深入贯彻习近平生态文明思想，按照党中央、国务院决策部署，坚持新发展理念，统筹山水林田湖草沙一体化保护和修复。根据《黑龙江省生态功能区划》，绥棱县位于I-5-2-1呼兰河流域上游水源涵养与土壤保持生态功能区，主要生态系统服务功能水源涵养及土壤保持。《规划》针对区域水源涵养、土壤保持生态功能进行评价，给出绥棱县水源涵养量和土壤保持量指标现状，分析县域存在的主要生态问题，提出规划目标，并有针对性的提出规划主要任务和重点工程，分析规划的可达性，并提出规划实施的保障措施。《规划》是绥棱县“十四五”时期县域生态功能保护修复规划工作的总要求，是实施生态功能保护修复的重要依据。</w:t>
      </w:r>
    </w:p>
    <w:p>
      <w:pPr>
        <w:pStyle w:val="3"/>
        <w:numPr>
          <w:ilvl w:val="1"/>
          <w:numId w:val="1"/>
        </w:numPr>
        <w:ind w:firstLine="643"/>
        <w:rPr>
          <w:rFonts w:ascii="Times New Roman" w:hAnsi="Times New Roman" w:eastAsia="仿宋" w:cs="Times New Roman"/>
          <w:color w:val="auto"/>
        </w:rPr>
      </w:pPr>
      <w:bookmarkStart w:id="15" w:name="_Toc7457"/>
      <w:r>
        <w:rPr>
          <w:rFonts w:ascii="Times New Roman" w:hAnsi="Times New Roman" w:eastAsia="仿宋" w:cs="Times New Roman"/>
          <w:color w:val="auto"/>
        </w:rPr>
        <w:t>规划依据</w:t>
      </w:r>
      <w:bookmarkEnd w:id="15"/>
    </w:p>
    <w:p>
      <w:pPr>
        <w:pStyle w:val="4"/>
        <w:spacing w:line="600" w:lineRule="exact"/>
        <w:ind w:firstLine="0" w:firstLineChars="0"/>
        <w:rPr>
          <w:rFonts w:cs="Times New Roman"/>
          <w:color w:val="auto"/>
          <w:sz w:val="30"/>
          <w:szCs w:val="30"/>
        </w:rPr>
      </w:pPr>
      <w:bookmarkStart w:id="16" w:name="_Toc25855"/>
      <w:r>
        <w:rPr>
          <w:rFonts w:cs="Times New Roman"/>
          <w:color w:val="auto"/>
          <w:sz w:val="30"/>
          <w:szCs w:val="30"/>
        </w:rPr>
        <w:t>1.2.1法律法规</w:t>
      </w:r>
      <w:bookmarkEnd w:id="16"/>
    </w:p>
    <w:p>
      <w:pPr>
        <w:ind w:firstLine="560"/>
        <w:rPr>
          <w:rFonts w:cs="Times New Roman"/>
          <w:color w:val="auto"/>
        </w:rPr>
      </w:pPr>
      <w:r>
        <w:rPr>
          <w:rFonts w:cs="Times New Roman"/>
          <w:color w:val="auto"/>
        </w:rPr>
        <w:t>（1）《中华人民共和国环境保护法》（2014年4月24日修订）；</w:t>
      </w:r>
    </w:p>
    <w:p>
      <w:pPr>
        <w:ind w:firstLine="560"/>
        <w:rPr>
          <w:rFonts w:cs="Times New Roman"/>
          <w:color w:val="auto"/>
        </w:rPr>
      </w:pPr>
      <w:r>
        <w:rPr>
          <w:rFonts w:cs="Times New Roman"/>
          <w:color w:val="auto"/>
        </w:rPr>
        <w:t>（2）《中华人民共和国水法》（2016年7月2日修改）；</w:t>
      </w:r>
    </w:p>
    <w:p>
      <w:pPr>
        <w:ind w:firstLine="560"/>
        <w:rPr>
          <w:rFonts w:cs="Times New Roman"/>
          <w:color w:val="auto"/>
        </w:rPr>
      </w:pPr>
      <w:r>
        <w:rPr>
          <w:rFonts w:cs="Times New Roman"/>
          <w:color w:val="auto"/>
        </w:rPr>
        <w:t>（3）《中华人民共和国森林法》（2019年12月28日修订）；</w:t>
      </w:r>
    </w:p>
    <w:p>
      <w:pPr>
        <w:ind w:firstLine="560"/>
        <w:rPr>
          <w:rFonts w:cs="Times New Roman"/>
          <w:color w:val="auto"/>
        </w:rPr>
      </w:pPr>
      <w:r>
        <w:rPr>
          <w:rFonts w:cs="Times New Roman"/>
          <w:color w:val="auto"/>
        </w:rPr>
        <w:t>（4）《中华人民共和国湿地保护法》（自2022年6月1日起施行）；</w:t>
      </w:r>
    </w:p>
    <w:p>
      <w:pPr>
        <w:ind w:firstLine="560"/>
        <w:rPr>
          <w:rFonts w:cs="Times New Roman"/>
          <w:color w:val="auto"/>
        </w:rPr>
      </w:pPr>
      <w:r>
        <w:rPr>
          <w:rFonts w:cs="Times New Roman"/>
          <w:color w:val="auto"/>
        </w:rPr>
        <w:t>（5）《中华人民共和国土地管理法》（2019年8月26日修正）；</w:t>
      </w:r>
    </w:p>
    <w:p>
      <w:pPr>
        <w:ind w:firstLine="560"/>
        <w:rPr>
          <w:rFonts w:cs="Times New Roman"/>
          <w:color w:val="auto"/>
        </w:rPr>
      </w:pPr>
      <w:r>
        <w:rPr>
          <w:rFonts w:cs="Times New Roman"/>
          <w:color w:val="auto"/>
        </w:rPr>
        <w:t>（6）《中华人民共和国矿产资源法》（2009年8月27日修正）；</w:t>
      </w:r>
    </w:p>
    <w:p>
      <w:pPr>
        <w:ind w:firstLine="560"/>
        <w:rPr>
          <w:rFonts w:cs="Times New Roman"/>
          <w:color w:val="auto"/>
        </w:rPr>
      </w:pPr>
      <w:r>
        <w:rPr>
          <w:rFonts w:cs="Times New Roman"/>
          <w:color w:val="auto"/>
        </w:rPr>
        <w:t>（7）《中华人民共和国水土保持法》（2010年12月25日修订）；</w:t>
      </w:r>
    </w:p>
    <w:p>
      <w:pPr>
        <w:ind w:firstLine="560"/>
        <w:rPr>
          <w:rFonts w:cs="Times New Roman"/>
          <w:color w:val="auto"/>
        </w:rPr>
      </w:pPr>
      <w:r>
        <w:rPr>
          <w:rFonts w:cs="Times New Roman"/>
          <w:color w:val="auto"/>
        </w:rPr>
        <w:t>（8）《中华人民共和国水污染防治法》(2017年6月27日修正)；</w:t>
      </w:r>
    </w:p>
    <w:p>
      <w:pPr>
        <w:ind w:firstLine="560"/>
        <w:rPr>
          <w:rFonts w:cs="Times New Roman"/>
          <w:color w:val="auto"/>
        </w:rPr>
      </w:pPr>
      <w:r>
        <w:rPr>
          <w:rFonts w:cs="Times New Roman"/>
          <w:color w:val="auto"/>
        </w:rPr>
        <w:t>（9）《中华人民共和国土壤污染防治法》（自2019年1月1日起施行）；</w:t>
      </w:r>
    </w:p>
    <w:p>
      <w:pPr>
        <w:ind w:firstLine="560"/>
        <w:rPr>
          <w:rFonts w:cs="Times New Roman"/>
          <w:color w:val="auto"/>
        </w:rPr>
      </w:pPr>
      <w:r>
        <w:rPr>
          <w:rFonts w:cs="Times New Roman"/>
          <w:color w:val="auto"/>
        </w:rPr>
        <w:t>（10）《中华人民共和国城乡规划法》（2019年4月23日修正）；</w:t>
      </w:r>
    </w:p>
    <w:p>
      <w:pPr>
        <w:ind w:firstLine="560"/>
        <w:rPr>
          <w:rFonts w:cs="Times New Roman"/>
          <w:color w:val="auto"/>
        </w:rPr>
      </w:pPr>
      <w:r>
        <w:rPr>
          <w:rFonts w:cs="Times New Roman"/>
          <w:color w:val="auto"/>
        </w:rPr>
        <w:t>（11）《中华人民共和国土地管理法实施条例》(自2021年9月1日起施行)；</w:t>
      </w:r>
    </w:p>
    <w:p>
      <w:pPr>
        <w:ind w:firstLine="560"/>
        <w:rPr>
          <w:rFonts w:cs="Times New Roman"/>
          <w:color w:val="auto"/>
        </w:rPr>
      </w:pPr>
      <w:r>
        <w:rPr>
          <w:rFonts w:cs="Times New Roman"/>
          <w:color w:val="auto"/>
        </w:rPr>
        <w:t>（12）《土地复垦条例》（自2011年3月5日起施行）；</w:t>
      </w:r>
    </w:p>
    <w:p>
      <w:pPr>
        <w:ind w:firstLine="560"/>
        <w:rPr>
          <w:rFonts w:cs="Times New Roman"/>
          <w:color w:val="auto"/>
        </w:rPr>
      </w:pPr>
      <w:r>
        <w:rPr>
          <w:rFonts w:cs="Times New Roman"/>
          <w:color w:val="auto"/>
        </w:rPr>
        <w:t>（13）《基本农田保护条例》（2011年1月8日修订）；</w:t>
      </w:r>
    </w:p>
    <w:p>
      <w:pPr>
        <w:ind w:firstLine="560"/>
        <w:rPr>
          <w:rFonts w:cs="Times New Roman"/>
          <w:color w:val="auto"/>
        </w:rPr>
      </w:pPr>
      <w:r>
        <w:rPr>
          <w:rFonts w:cs="Times New Roman"/>
          <w:color w:val="auto"/>
        </w:rPr>
        <w:t>（14）《中华人民共和国自然保护区条例》（2017年10月7日修订）；</w:t>
      </w:r>
    </w:p>
    <w:p>
      <w:pPr>
        <w:ind w:firstLine="560"/>
        <w:rPr>
          <w:rFonts w:cs="Times New Roman"/>
          <w:color w:val="auto"/>
        </w:rPr>
      </w:pPr>
      <w:r>
        <w:rPr>
          <w:rFonts w:cs="Times New Roman"/>
          <w:color w:val="auto"/>
        </w:rPr>
        <w:t>（15）《地质灾害防治条例》（自2004年3月1日起施行）；</w:t>
      </w:r>
    </w:p>
    <w:p>
      <w:pPr>
        <w:ind w:firstLine="560"/>
        <w:rPr>
          <w:rFonts w:cs="Times New Roman"/>
          <w:color w:val="auto"/>
        </w:rPr>
      </w:pPr>
      <w:r>
        <w:rPr>
          <w:rFonts w:cs="Times New Roman"/>
          <w:color w:val="auto"/>
        </w:rPr>
        <w:t>（16）《地下水管理条例》（自2021年12月1日起施行）；</w:t>
      </w:r>
    </w:p>
    <w:p>
      <w:pPr>
        <w:ind w:firstLine="560"/>
        <w:rPr>
          <w:rFonts w:cs="Times New Roman"/>
          <w:color w:val="auto"/>
        </w:rPr>
      </w:pPr>
      <w:r>
        <w:rPr>
          <w:rFonts w:cs="Times New Roman"/>
          <w:color w:val="auto"/>
        </w:rPr>
        <w:t>（17）《中华人民共和国河道管理条例》（2018年3月19日修正）；</w:t>
      </w:r>
    </w:p>
    <w:p>
      <w:pPr>
        <w:ind w:firstLine="560"/>
        <w:rPr>
          <w:rFonts w:cs="Times New Roman"/>
          <w:color w:val="auto"/>
        </w:rPr>
      </w:pPr>
      <w:r>
        <w:rPr>
          <w:rFonts w:cs="Times New Roman"/>
          <w:color w:val="auto"/>
        </w:rPr>
        <w:t>（18）《矿山地质环境保护规定》（2015年5月6日修正）；</w:t>
      </w:r>
    </w:p>
    <w:p>
      <w:pPr>
        <w:ind w:firstLine="560"/>
        <w:rPr>
          <w:rFonts w:cs="Times New Roman"/>
          <w:color w:val="auto"/>
        </w:rPr>
      </w:pPr>
      <w:r>
        <w:rPr>
          <w:rFonts w:cs="Times New Roman"/>
          <w:color w:val="auto"/>
        </w:rPr>
        <w:t>（19）《全国生态环境建设规划》</w:t>
      </w:r>
    </w:p>
    <w:p>
      <w:pPr>
        <w:ind w:firstLine="560"/>
        <w:rPr>
          <w:rFonts w:cs="Times New Roman"/>
          <w:color w:val="auto"/>
        </w:rPr>
      </w:pPr>
      <w:r>
        <w:rPr>
          <w:rFonts w:cs="Times New Roman"/>
          <w:color w:val="auto"/>
        </w:rPr>
        <w:t>（20）《全国生态环境保护纲要》（国发[2000]38号）</w:t>
      </w:r>
    </w:p>
    <w:p>
      <w:pPr>
        <w:ind w:firstLine="560"/>
        <w:rPr>
          <w:rFonts w:cs="Times New Roman"/>
          <w:color w:val="auto"/>
        </w:rPr>
      </w:pPr>
      <w:r>
        <w:rPr>
          <w:rFonts w:cs="Times New Roman"/>
          <w:color w:val="auto"/>
        </w:rPr>
        <w:t>（21）《黑龙江省地质环境保护条例》（自2009年10月1日起施行）；</w:t>
      </w:r>
    </w:p>
    <w:p>
      <w:pPr>
        <w:ind w:firstLine="560"/>
        <w:rPr>
          <w:rFonts w:cs="Times New Roman"/>
          <w:color w:val="auto"/>
        </w:rPr>
      </w:pPr>
      <w:r>
        <w:rPr>
          <w:rFonts w:cs="Times New Roman"/>
          <w:color w:val="auto"/>
        </w:rPr>
        <w:t>（22）《关于加快推进生态文明建设的意见》（2015年3月24日）</w:t>
      </w:r>
    </w:p>
    <w:p>
      <w:pPr>
        <w:ind w:firstLine="560"/>
        <w:rPr>
          <w:rFonts w:cs="Times New Roman"/>
          <w:color w:val="auto"/>
        </w:rPr>
      </w:pPr>
      <w:r>
        <w:rPr>
          <w:rFonts w:cs="Times New Roman"/>
          <w:color w:val="auto"/>
        </w:rPr>
        <w:t>（23）《生态文明体制改革总体方案》（2015年9月11日）</w:t>
      </w:r>
    </w:p>
    <w:p>
      <w:pPr>
        <w:ind w:firstLine="560"/>
        <w:rPr>
          <w:rFonts w:cs="Times New Roman"/>
          <w:color w:val="auto"/>
        </w:rPr>
      </w:pPr>
      <w:r>
        <w:rPr>
          <w:rFonts w:cs="Times New Roman"/>
          <w:color w:val="auto"/>
        </w:rPr>
        <w:t>（24）《黑龙江省环境保护条例》（2018年4月26日）</w:t>
      </w:r>
    </w:p>
    <w:p>
      <w:pPr>
        <w:ind w:firstLine="560"/>
        <w:rPr>
          <w:rFonts w:cs="Times New Roman"/>
          <w:color w:val="auto"/>
        </w:rPr>
      </w:pPr>
      <w:r>
        <w:rPr>
          <w:rFonts w:cs="Times New Roman"/>
          <w:color w:val="auto"/>
        </w:rPr>
        <w:t>（25）《黑龙江省湿地保护条例》（2018年6月28日修正）；</w:t>
      </w:r>
    </w:p>
    <w:p>
      <w:pPr>
        <w:ind w:firstLine="560"/>
        <w:rPr>
          <w:rFonts w:cs="Times New Roman"/>
          <w:color w:val="auto"/>
        </w:rPr>
      </w:pPr>
      <w:r>
        <w:rPr>
          <w:rFonts w:cs="Times New Roman"/>
          <w:color w:val="auto"/>
        </w:rPr>
        <w:t>（26）《黑龙江省黑土地保护利用条例》（2022年3月1日起实施）。</w:t>
      </w:r>
    </w:p>
    <w:p>
      <w:pPr>
        <w:pStyle w:val="4"/>
        <w:spacing w:line="600" w:lineRule="exact"/>
        <w:ind w:firstLine="0" w:firstLineChars="0"/>
        <w:rPr>
          <w:rFonts w:cs="Times New Roman"/>
          <w:color w:val="auto"/>
          <w:sz w:val="30"/>
          <w:szCs w:val="30"/>
        </w:rPr>
      </w:pPr>
      <w:bookmarkStart w:id="17" w:name="_Toc4031"/>
      <w:r>
        <w:rPr>
          <w:rFonts w:cs="Times New Roman"/>
          <w:color w:val="auto"/>
          <w:sz w:val="30"/>
          <w:szCs w:val="30"/>
        </w:rPr>
        <w:t>1.2.2政策文件</w:t>
      </w:r>
      <w:bookmarkEnd w:id="17"/>
    </w:p>
    <w:p>
      <w:pPr>
        <w:ind w:firstLine="560"/>
        <w:rPr>
          <w:rFonts w:cs="Times New Roman"/>
          <w:color w:val="auto"/>
        </w:rPr>
      </w:pPr>
      <w:r>
        <w:rPr>
          <w:rFonts w:cs="Times New Roman"/>
          <w:color w:val="auto"/>
        </w:rPr>
        <w:t>（1）《国务院关于印发水污染防治行动计划的通知》（国发〔2015〕17号）；</w:t>
      </w:r>
    </w:p>
    <w:p>
      <w:pPr>
        <w:ind w:firstLine="560"/>
        <w:rPr>
          <w:rFonts w:cs="Times New Roman"/>
          <w:color w:val="auto"/>
        </w:rPr>
      </w:pPr>
      <w:r>
        <w:rPr>
          <w:rFonts w:cs="Times New Roman"/>
          <w:color w:val="auto"/>
        </w:rPr>
        <w:t>（2）《国务院关于印发土壤污染防治行动计划的通知》（国发〔2016〕31 号）；</w:t>
      </w:r>
    </w:p>
    <w:p>
      <w:pPr>
        <w:ind w:firstLine="560"/>
        <w:rPr>
          <w:rFonts w:cs="Times New Roman"/>
          <w:color w:val="auto"/>
        </w:rPr>
      </w:pPr>
      <w:r>
        <w:rPr>
          <w:rFonts w:cs="Times New Roman"/>
          <w:color w:val="auto"/>
        </w:rPr>
        <w:t>（3）《自然资源部关于探索利用市场化方式推进矿山生态修复的意见》（自然资规〔2019〕6 号）；</w:t>
      </w:r>
    </w:p>
    <w:p>
      <w:pPr>
        <w:ind w:firstLine="560"/>
        <w:rPr>
          <w:rFonts w:cs="Times New Roman"/>
          <w:color w:val="auto"/>
        </w:rPr>
      </w:pPr>
      <w:r>
        <w:rPr>
          <w:rFonts w:cs="Times New Roman"/>
          <w:color w:val="auto"/>
        </w:rPr>
        <w:t>（4）《自然资源部关于开展全域土地综合整治试点工作的通知》（自然资发〔2019〕194 号）；</w:t>
      </w:r>
    </w:p>
    <w:p>
      <w:pPr>
        <w:ind w:firstLine="560"/>
        <w:rPr>
          <w:rFonts w:cs="Times New Roman"/>
          <w:color w:val="auto"/>
        </w:rPr>
      </w:pPr>
      <w:r>
        <w:rPr>
          <w:rFonts w:cs="Times New Roman"/>
          <w:color w:val="auto"/>
        </w:rPr>
        <w:t>（5）《财政部办公厅 自然资源部办公厅 生态环境部办公厅关于进一步做好山水林田湖草沙生态保护修复工程试点的通知》 （财办资环〔2020〕15 号）；</w:t>
      </w:r>
    </w:p>
    <w:p>
      <w:pPr>
        <w:ind w:firstLine="560"/>
        <w:rPr>
          <w:rFonts w:hint="eastAsia" w:eastAsia="仿宋" w:cs="Times New Roman"/>
          <w:color w:val="auto"/>
          <w:lang w:eastAsia="zh-CN"/>
        </w:rPr>
      </w:pPr>
      <w:r>
        <w:rPr>
          <w:rFonts w:cs="Times New Roman"/>
          <w:color w:val="auto"/>
        </w:rPr>
        <w:t>（6）《“十四五”国家重点生态功能区县域生态环境质量考核指标体系及实施细则》（环办监测函[2022]30号）</w:t>
      </w:r>
      <w:r>
        <w:rPr>
          <w:rFonts w:hint="eastAsia" w:cs="Times New Roman"/>
          <w:color w:val="auto"/>
          <w:lang w:eastAsia="zh-CN"/>
        </w:rPr>
        <w:t>；</w:t>
      </w:r>
    </w:p>
    <w:p>
      <w:pPr>
        <w:ind w:firstLine="560"/>
        <w:rPr>
          <w:rFonts w:cs="Times New Roman"/>
          <w:color w:val="auto"/>
        </w:rPr>
      </w:pPr>
      <w:r>
        <w:rPr>
          <w:rFonts w:cs="Times New Roman"/>
          <w:color w:val="auto"/>
        </w:rPr>
        <w:t>（7）</w:t>
      </w:r>
      <w:r>
        <w:rPr>
          <w:rFonts w:hint="eastAsia" w:cs="Times New Roman"/>
          <w:color w:val="auto"/>
        </w:rPr>
        <w:t>《关于进一步加强生物多样性保护的意见》</w:t>
      </w:r>
      <w:r>
        <w:rPr>
          <w:rFonts w:hint="eastAsia" w:cs="Times New Roman"/>
          <w:color w:val="auto"/>
          <w:lang w:eastAsia="zh-CN"/>
        </w:rPr>
        <w:t>（</w:t>
      </w:r>
      <w:r>
        <w:rPr>
          <w:rFonts w:hint="eastAsia" w:cs="Times New Roman"/>
          <w:color w:val="auto"/>
        </w:rPr>
        <w:t>中共中央办公厅 国务院办公厅印发</w:t>
      </w:r>
      <w:r>
        <w:rPr>
          <w:rFonts w:hint="eastAsia" w:cs="Times New Roman"/>
          <w:color w:val="auto"/>
          <w:lang w:eastAsia="zh-CN"/>
        </w:rPr>
        <w:t>）；</w:t>
      </w:r>
    </w:p>
    <w:p>
      <w:pPr>
        <w:ind w:firstLine="560"/>
        <w:rPr>
          <w:rFonts w:cs="Times New Roman"/>
          <w:color w:val="auto"/>
        </w:rPr>
      </w:pPr>
      <w:r>
        <w:rPr>
          <w:rFonts w:hint="eastAsia" w:cs="Times New Roman"/>
          <w:color w:val="auto"/>
          <w:lang w:eastAsia="zh-CN"/>
        </w:rPr>
        <w:t>（</w:t>
      </w:r>
      <w:r>
        <w:rPr>
          <w:rFonts w:hint="eastAsia" w:cs="Times New Roman"/>
          <w:color w:val="auto"/>
          <w:lang w:val="en-US" w:eastAsia="zh-CN"/>
        </w:rPr>
        <w:t>8</w:t>
      </w:r>
      <w:r>
        <w:rPr>
          <w:rFonts w:hint="eastAsia" w:cs="Times New Roman"/>
          <w:color w:val="auto"/>
          <w:lang w:eastAsia="zh-CN"/>
        </w:rPr>
        <w:t>）</w:t>
      </w:r>
      <w:r>
        <w:rPr>
          <w:rFonts w:cs="Times New Roman"/>
          <w:color w:val="auto"/>
        </w:rPr>
        <w:t>《黑龙江省人民政府关于实施“三线一单”生态环境分区管控的意见》（黑政发〔2020〕14号）。</w:t>
      </w:r>
    </w:p>
    <w:p>
      <w:pPr>
        <w:pStyle w:val="4"/>
        <w:spacing w:line="600" w:lineRule="exact"/>
        <w:ind w:firstLine="0" w:firstLineChars="0"/>
        <w:rPr>
          <w:rFonts w:cs="Times New Roman"/>
          <w:color w:val="auto"/>
          <w:sz w:val="30"/>
          <w:szCs w:val="30"/>
        </w:rPr>
      </w:pPr>
      <w:bookmarkStart w:id="18" w:name="_Toc19744"/>
      <w:r>
        <w:rPr>
          <w:rFonts w:cs="Times New Roman"/>
          <w:color w:val="auto"/>
          <w:sz w:val="30"/>
          <w:szCs w:val="30"/>
        </w:rPr>
        <w:t>1.2.3相关规划</w:t>
      </w:r>
      <w:bookmarkEnd w:id="18"/>
    </w:p>
    <w:p>
      <w:pPr>
        <w:ind w:firstLine="560"/>
        <w:rPr>
          <w:rFonts w:cs="Times New Roman"/>
          <w:color w:val="auto"/>
        </w:rPr>
      </w:pPr>
      <w:r>
        <w:rPr>
          <w:rFonts w:cs="Times New Roman"/>
          <w:color w:val="auto"/>
        </w:rPr>
        <w:t>（1）《全国重要生态系统保护和修复重大工程总体规划（2021-2035 年）》；</w:t>
      </w:r>
    </w:p>
    <w:p>
      <w:pPr>
        <w:ind w:firstLine="560"/>
        <w:rPr>
          <w:rFonts w:cs="Times New Roman"/>
          <w:color w:val="auto"/>
        </w:rPr>
      </w:pPr>
      <w:r>
        <w:rPr>
          <w:rFonts w:cs="Times New Roman"/>
          <w:color w:val="auto"/>
        </w:rPr>
        <w:t>（2）《黑龙江省国民经济和社会发展第十四个五年规划和2035年远景目标纲要》；</w:t>
      </w:r>
    </w:p>
    <w:p>
      <w:pPr>
        <w:ind w:firstLine="560"/>
        <w:rPr>
          <w:rFonts w:cs="Times New Roman"/>
          <w:color w:val="auto"/>
        </w:rPr>
      </w:pPr>
      <w:r>
        <w:rPr>
          <w:rFonts w:cs="Times New Roman"/>
          <w:color w:val="auto"/>
        </w:rPr>
        <w:t>（3）《黑龙江省“十四五”生态环境保护规划》；</w:t>
      </w:r>
    </w:p>
    <w:p>
      <w:pPr>
        <w:ind w:firstLine="560"/>
        <w:rPr>
          <w:rFonts w:cs="Times New Roman"/>
          <w:color w:val="auto"/>
        </w:rPr>
      </w:pPr>
      <w:r>
        <w:rPr>
          <w:rFonts w:cs="Times New Roman"/>
          <w:color w:val="auto"/>
        </w:rPr>
        <w:t>（4）《绥化市国民经济和社会发展第十四个五年规划和2035年远景目标纲要》；</w:t>
      </w:r>
    </w:p>
    <w:p>
      <w:pPr>
        <w:ind w:firstLine="560"/>
        <w:rPr>
          <w:rFonts w:cs="Times New Roman"/>
          <w:color w:val="auto"/>
        </w:rPr>
      </w:pPr>
      <w:r>
        <w:rPr>
          <w:rFonts w:cs="Times New Roman"/>
          <w:color w:val="auto"/>
        </w:rPr>
        <w:t>（5）《绥棱县国民经济和社会发展第十四个五年规划和2035年远景目标纲要》；</w:t>
      </w:r>
    </w:p>
    <w:p>
      <w:pPr>
        <w:ind w:firstLine="560"/>
        <w:rPr>
          <w:rFonts w:cs="Times New Roman"/>
          <w:color w:val="auto"/>
        </w:rPr>
      </w:pPr>
      <w:r>
        <w:rPr>
          <w:rFonts w:cs="Times New Roman"/>
          <w:color w:val="auto"/>
        </w:rPr>
        <w:t>（6）《绥棱县国土空间生态修复规划（2021—2035年）》；</w:t>
      </w:r>
    </w:p>
    <w:p>
      <w:pPr>
        <w:ind w:firstLine="560"/>
        <w:rPr>
          <w:rFonts w:cs="Times New Roman"/>
          <w:color w:val="auto"/>
        </w:rPr>
      </w:pPr>
      <w:r>
        <w:rPr>
          <w:rFonts w:cs="Times New Roman"/>
          <w:color w:val="auto"/>
        </w:rPr>
        <w:t>（7）《黑龙江省绥棱县县域农村生活污水治理专项规划（2020-2035年）》；</w:t>
      </w:r>
    </w:p>
    <w:p>
      <w:pPr>
        <w:ind w:firstLine="560"/>
        <w:rPr>
          <w:rFonts w:cs="Times New Roman"/>
          <w:color w:val="auto"/>
        </w:rPr>
      </w:pPr>
      <w:r>
        <w:rPr>
          <w:rFonts w:cs="Times New Roman"/>
          <w:color w:val="auto"/>
        </w:rPr>
        <w:t>（8）《绥棱县畜禽养殖污染防治规划（2022~2025年）》；</w:t>
      </w:r>
    </w:p>
    <w:p>
      <w:pPr>
        <w:ind w:firstLine="560"/>
        <w:rPr>
          <w:rFonts w:cs="Times New Roman"/>
          <w:color w:val="auto"/>
        </w:rPr>
      </w:pPr>
      <w:r>
        <w:rPr>
          <w:rFonts w:cs="Times New Roman"/>
          <w:color w:val="auto"/>
        </w:rPr>
        <w:t>（9）《黑龙江省绥棱县全域旅游发展总体规划及近三年行动计划（2020—2030年）》；</w:t>
      </w:r>
    </w:p>
    <w:p>
      <w:pPr>
        <w:ind w:firstLine="560"/>
        <w:rPr>
          <w:rFonts w:cs="Times New Roman"/>
          <w:color w:val="auto"/>
        </w:rPr>
      </w:pPr>
      <w:r>
        <w:rPr>
          <w:rFonts w:cs="Times New Roman"/>
          <w:color w:val="auto"/>
        </w:rPr>
        <w:t>（11）《绥棱县农业面源污染防治工作规划（2021-2025年）》；</w:t>
      </w:r>
    </w:p>
    <w:p>
      <w:pPr>
        <w:ind w:firstLine="560"/>
        <w:rPr>
          <w:rFonts w:cs="Times New Roman"/>
          <w:color w:val="auto"/>
        </w:rPr>
      </w:pPr>
      <w:r>
        <w:rPr>
          <w:rFonts w:cs="Times New Roman"/>
          <w:color w:val="auto"/>
        </w:rPr>
        <w:t>（12）《黑龙江省水土保持规划（2018~2030年）》；</w:t>
      </w:r>
    </w:p>
    <w:p>
      <w:pPr>
        <w:ind w:firstLine="560"/>
        <w:rPr>
          <w:rFonts w:cs="Times New Roman"/>
          <w:color w:val="auto"/>
        </w:rPr>
      </w:pPr>
      <w:r>
        <w:rPr>
          <w:rFonts w:cs="Times New Roman"/>
          <w:color w:val="auto"/>
        </w:rPr>
        <w:t>（13）《黑龙江省生态功能区划》</w:t>
      </w:r>
    </w:p>
    <w:p>
      <w:pPr>
        <w:ind w:firstLine="560"/>
        <w:rPr>
          <w:rFonts w:cs="Times New Roman"/>
          <w:color w:val="auto"/>
        </w:rPr>
      </w:pPr>
      <w:r>
        <w:rPr>
          <w:rFonts w:cs="Times New Roman"/>
          <w:color w:val="auto"/>
        </w:rPr>
        <w:t>（14）《山水林田湖草生态保护修复工程指南（试行）》；</w:t>
      </w:r>
    </w:p>
    <w:p>
      <w:pPr>
        <w:ind w:firstLine="560"/>
        <w:rPr>
          <w:rFonts w:hint="eastAsia" w:cs="Times New Roman"/>
          <w:color w:val="auto"/>
          <w:lang w:eastAsia="zh-CN"/>
        </w:rPr>
      </w:pPr>
      <w:r>
        <w:rPr>
          <w:rFonts w:cs="Times New Roman"/>
          <w:color w:val="auto"/>
        </w:rPr>
        <w:t>（15）《矿山生态修复技术规范（通则）》</w:t>
      </w:r>
      <w:r>
        <w:rPr>
          <w:rFonts w:hint="eastAsia" w:cs="Times New Roman"/>
          <w:color w:val="auto"/>
          <w:lang w:eastAsia="zh-CN"/>
        </w:rPr>
        <w:t>；</w:t>
      </w:r>
    </w:p>
    <w:p>
      <w:pPr>
        <w:ind w:firstLine="560"/>
        <w:rPr>
          <w:rFonts w:hint="eastAsia" w:cs="Times New Roman"/>
          <w:color w:val="auto"/>
          <w:lang w:eastAsia="zh-CN"/>
        </w:rPr>
      </w:pPr>
      <w:r>
        <w:rPr>
          <w:rFonts w:hint="eastAsia" w:cs="Times New Roman"/>
          <w:color w:val="auto"/>
          <w:lang w:eastAsia="zh-CN"/>
        </w:rPr>
        <w:t>（</w:t>
      </w:r>
      <w:r>
        <w:rPr>
          <w:rFonts w:hint="eastAsia" w:cs="Times New Roman"/>
          <w:color w:val="auto"/>
          <w:lang w:val="en-US" w:eastAsia="zh-CN"/>
        </w:rPr>
        <w:t>16</w:t>
      </w:r>
      <w:r>
        <w:rPr>
          <w:rFonts w:hint="eastAsia" w:cs="Times New Roman"/>
          <w:color w:val="auto"/>
          <w:lang w:eastAsia="zh-CN"/>
        </w:rPr>
        <w:t>）《绥化市“十四五”生态环境保护规划》；</w:t>
      </w:r>
    </w:p>
    <w:p>
      <w:pPr>
        <w:ind w:firstLine="560"/>
        <w:rPr>
          <w:rFonts w:hint="eastAsia" w:cs="Times New Roman"/>
          <w:color w:val="auto"/>
          <w:lang w:eastAsia="zh-CN"/>
        </w:rPr>
      </w:pPr>
      <w:r>
        <w:rPr>
          <w:rFonts w:hint="eastAsia" w:cs="Times New Roman"/>
          <w:color w:val="auto"/>
          <w:lang w:eastAsia="zh-CN"/>
        </w:rPr>
        <w:t>（</w:t>
      </w:r>
      <w:r>
        <w:rPr>
          <w:rFonts w:hint="eastAsia" w:cs="Times New Roman"/>
          <w:color w:val="auto"/>
          <w:lang w:val="en-US" w:eastAsia="zh-CN"/>
        </w:rPr>
        <w:t>17</w:t>
      </w:r>
      <w:r>
        <w:rPr>
          <w:rFonts w:hint="eastAsia" w:cs="Times New Roman"/>
          <w:color w:val="auto"/>
          <w:lang w:eastAsia="zh-CN"/>
        </w:rPr>
        <w:t>）《绥化市“十四五”土壤地下水和农村生态环境保护规划》；</w:t>
      </w:r>
    </w:p>
    <w:p>
      <w:pPr>
        <w:ind w:firstLine="560"/>
        <w:rPr>
          <w:rFonts w:cs="Times New Roman"/>
          <w:color w:val="auto"/>
        </w:rPr>
      </w:pPr>
      <w:r>
        <w:rPr>
          <w:rFonts w:hint="eastAsia" w:cs="Times New Roman"/>
          <w:color w:val="auto"/>
          <w:lang w:eastAsia="zh-CN"/>
        </w:rPr>
        <w:t>（</w:t>
      </w:r>
      <w:r>
        <w:rPr>
          <w:rFonts w:hint="eastAsia" w:cs="Times New Roman"/>
          <w:color w:val="auto"/>
          <w:lang w:val="en-US" w:eastAsia="zh-CN"/>
        </w:rPr>
        <w:t>18</w:t>
      </w:r>
      <w:r>
        <w:rPr>
          <w:rFonts w:hint="eastAsia" w:cs="Times New Roman"/>
          <w:color w:val="auto"/>
          <w:lang w:eastAsia="zh-CN"/>
        </w:rPr>
        <w:t>）《绥化市“十四五”湿地保护规划》</w:t>
      </w:r>
      <w:r>
        <w:rPr>
          <w:rFonts w:cs="Times New Roman"/>
          <w:color w:val="auto"/>
        </w:rPr>
        <w:t>。</w:t>
      </w:r>
    </w:p>
    <w:p>
      <w:pPr>
        <w:pStyle w:val="3"/>
        <w:numPr>
          <w:ilvl w:val="1"/>
          <w:numId w:val="1"/>
        </w:numPr>
        <w:ind w:firstLine="643"/>
        <w:rPr>
          <w:rFonts w:ascii="Times New Roman" w:hAnsi="Times New Roman" w:eastAsia="仿宋" w:cs="Times New Roman"/>
          <w:color w:val="auto"/>
        </w:rPr>
      </w:pPr>
      <w:bookmarkStart w:id="19" w:name="_Toc4714"/>
      <w:r>
        <w:rPr>
          <w:rFonts w:ascii="Times New Roman" w:hAnsi="Times New Roman" w:eastAsia="仿宋" w:cs="Times New Roman"/>
          <w:color w:val="auto"/>
        </w:rPr>
        <w:t>指导思想</w:t>
      </w:r>
      <w:bookmarkEnd w:id="19"/>
    </w:p>
    <w:p>
      <w:pPr>
        <w:ind w:firstLine="560"/>
        <w:rPr>
          <w:rFonts w:cs="Times New Roman"/>
          <w:color w:val="auto"/>
        </w:rPr>
      </w:pPr>
      <w:r>
        <w:rPr>
          <w:rFonts w:cs="Times New Roman"/>
          <w:color w:val="auto"/>
        </w:rPr>
        <w:t>以习近平新时代中国特色社会主义思想为指导，深入贯彻习近平生态文明思想，全面贯彻党的二十大精神，牢固树立和贯彻落实新发展理念，认真落实党中央、国务院决策部署，以绿水青山就是金山银山理念为指引，以统筹山水林田湖草沙一体化保护修复为主线，科学规划，突出重点，连片实施，整体推进，构建格局优化、系统稳定、功能提升的绥棱县生态屏障。</w:t>
      </w:r>
    </w:p>
    <w:p>
      <w:pPr>
        <w:pStyle w:val="3"/>
        <w:numPr>
          <w:ilvl w:val="1"/>
          <w:numId w:val="1"/>
        </w:numPr>
        <w:ind w:firstLine="643"/>
        <w:rPr>
          <w:rFonts w:ascii="Times New Roman" w:hAnsi="Times New Roman" w:eastAsia="仿宋" w:cs="Times New Roman"/>
          <w:color w:val="auto"/>
        </w:rPr>
      </w:pPr>
      <w:bookmarkStart w:id="20" w:name="_Toc23045"/>
      <w:r>
        <w:rPr>
          <w:rFonts w:ascii="Times New Roman" w:hAnsi="Times New Roman" w:eastAsia="仿宋" w:cs="Times New Roman"/>
          <w:color w:val="auto"/>
        </w:rPr>
        <w:t>基本原则</w:t>
      </w:r>
      <w:bookmarkEnd w:id="20"/>
    </w:p>
    <w:p>
      <w:pPr>
        <w:ind w:firstLine="560"/>
        <w:rPr>
          <w:rFonts w:cs="Times New Roman"/>
          <w:color w:val="auto"/>
        </w:rPr>
      </w:pPr>
      <w:r>
        <w:rPr>
          <w:rFonts w:cs="Times New Roman"/>
          <w:color w:val="auto"/>
        </w:rPr>
        <w:t>（1）坚持保护优先，自然恢复为主</w:t>
      </w:r>
    </w:p>
    <w:p>
      <w:pPr>
        <w:ind w:firstLine="560"/>
        <w:rPr>
          <w:rFonts w:cs="Times New Roman"/>
          <w:color w:val="auto"/>
        </w:rPr>
      </w:pPr>
      <w:r>
        <w:rPr>
          <w:rFonts w:cs="Times New Roman"/>
          <w:color w:val="auto"/>
        </w:rPr>
        <w:t>牢固树立和践行绿水青山就是金山银山理念，树立尊重自然、顺应自然和保护自然的理念，把生态保护放在首位，遵循自然生态系统演替规律，充分发挥自然的自我修复能力，根据自然山系、江河源区的生态系统特征和演替阶段，实施整体保护、综合治理、科学修复，精准提升生态系统质量和稳定性，增进民生福祉，引领生态建设高质量发展。</w:t>
      </w:r>
    </w:p>
    <w:p>
      <w:pPr>
        <w:ind w:firstLine="560"/>
        <w:rPr>
          <w:rFonts w:cs="Times New Roman"/>
          <w:color w:val="auto"/>
        </w:rPr>
      </w:pPr>
      <w:r>
        <w:rPr>
          <w:rFonts w:cs="Times New Roman"/>
          <w:color w:val="auto"/>
        </w:rPr>
        <w:t>（2）坚持科学治理，推进综合施策</w:t>
      </w:r>
    </w:p>
    <w:p>
      <w:pPr>
        <w:ind w:firstLine="560"/>
        <w:rPr>
          <w:rFonts w:cs="Times New Roman"/>
          <w:color w:val="auto"/>
        </w:rPr>
      </w:pPr>
      <w:r>
        <w:rPr>
          <w:rFonts w:cs="Times New Roman"/>
          <w:color w:val="auto"/>
        </w:rPr>
        <w:t>坚持山水林田湖草是生命共同体理念，遵循生态系统内在机理，以绥棱县生态本底和自然禀赋为基础，关注生态质量提升和生态风险应对，强化科技支撑作用，因地制宜、实事求是，科学配置保护和修复、自然和人工、生物和工程等措施，综合考虑区域中各生境组分间的相互作用，统筹谋划生态保护修复工程，增强各项举措的关联性和耦合性，由单一要素转向多要素的系统修复，避免破碎化和孤岛化，维护和提升生态系统完整性和连通性，推进全县生态系统一体化保护和修复。</w:t>
      </w:r>
    </w:p>
    <w:p>
      <w:pPr>
        <w:numPr>
          <w:ilvl w:val="0"/>
          <w:numId w:val="2"/>
        </w:numPr>
        <w:ind w:firstLine="560"/>
        <w:rPr>
          <w:rFonts w:cs="Times New Roman"/>
          <w:color w:val="auto"/>
        </w:rPr>
      </w:pPr>
      <w:r>
        <w:rPr>
          <w:rFonts w:cs="Times New Roman"/>
          <w:color w:val="auto"/>
        </w:rPr>
        <w:t>坚持问题导向，突出重点难点</w:t>
      </w:r>
    </w:p>
    <w:p>
      <w:pPr>
        <w:ind w:firstLine="560"/>
        <w:rPr>
          <w:rFonts w:cs="Times New Roman"/>
          <w:color w:val="auto"/>
        </w:rPr>
      </w:pPr>
      <w:r>
        <w:rPr>
          <w:rFonts w:cs="Times New Roman"/>
          <w:color w:val="auto"/>
        </w:rPr>
        <w:t>立足全县自然地理格局和生态系统状况，准确识别突出生态问题，科学预判主要生态风险，识别一批关键核心生态问题，优先解决当前紧迫需求，统筹考虑长远发展要求，进一步提高相关措施和政策的针对性，在抓重点、破难点上持续发力，通过重点突破促进自然生态系统整体改善。</w:t>
      </w:r>
    </w:p>
    <w:p>
      <w:pPr>
        <w:ind w:firstLine="560"/>
        <w:rPr>
          <w:rFonts w:cs="Times New Roman"/>
          <w:color w:val="auto"/>
        </w:rPr>
      </w:pPr>
      <w:r>
        <w:rPr>
          <w:rFonts w:cs="Times New Roman"/>
          <w:color w:val="auto"/>
        </w:rPr>
        <w:t>（4）坚持科学管理，实现永续利用</w:t>
      </w:r>
    </w:p>
    <w:p>
      <w:pPr>
        <w:ind w:firstLine="560"/>
        <w:rPr>
          <w:rFonts w:cs="Times New Roman"/>
          <w:color w:val="auto"/>
        </w:rPr>
      </w:pPr>
      <w:r>
        <w:rPr>
          <w:rFonts w:cs="Times New Roman"/>
          <w:color w:val="auto"/>
        </w:rPr>
        <w:t>充分认识自然生态资源的生态、经济、社会等多重价值，在确保自然生态系统质量、功能和稳定性的前提下，统筹推动特色生态产业发展，走“产业生态化、生态产业化”之路，同时，加强上下贯通，优化网络布局，重点提升基层自然生态系统监测、自然资源管护、生态灾害应对等方面的能力，逐步夯实生态保护和修复工作基础，通过科学管理促进自然资源保护和永续利用。</w:t>
      </w:r>
    </w:p>
    <w:p>
      <w:pPr>
        <w:ind w:firstLine="560"/>
        <w:rPr>
          <w:rFonts w:cs="Times New Roman"/>
          <w:color w:val="auto"/>
        </w:rPr>
      </w:pPr>
      <w:r>
        <w:rPr>
          <w:rFonts w:cs="Times New Roman"/>
          <w:color w:val="auto"/>
        </w:rPr>
        <w:t>（5）坚持改革创新，完善建管机制</w:t>
      </w:r>
    </w:p>
    <w:p>
      <w:pPr>
        <w:ind w:firstLine="560"/>
        <w:rPr>
          <w:rFonts w:cs="Times New Roman"/>
          <w:color w:val="auto"/>
        </w:rPr>
      </w:pPr>
      <w:r>
        <w:rPr>
          <w:rFonts w:cs="Times New Roman"/>
          <w:color w:val="auto"/>
        </w:rPr>
        <w:t>坚持依法治理，深化生态保护和修复领域改革，释放政策红利，拓宽投融资渠道，创新多元化投入和建管模式，完善生态保护补偿机制，提高全民生态保护意识，推进形成政府主导、多元主体参与的生态保护和修复长效机制，鼓励公众和社会组织积极参与。</w:t>
      </w:r>
    </w:p>
    <w:p>
      <w:pPr>
        <w:pStyle w:val="3"/>
        <w:numPr>
          <w:ilvl w:val="1"/>
          <w:numId w:val="1"/>
        </w:numPr>
        <w:ind w:firstLine="643"/>
        <w:rPr>
          <w:rFonts w:ascii="Times New Roman" w:hAnsi="Times New Roman" w:eastAsia="仿宋" w:cs="Times New Roman"/>
          <w:color w:val="auto"/>
        </w:rPr>
      </w:pPr>
      <w:bookmarkStart w:id="21" w:name="_Toc14461"/>
      <w:r>
        <w:rPr>
          <w:rFonts w:ascii="Times New Roman" w:hAnsi="Times New Roman" w:eastAsia="仿宋" w:cs="Times New Roman"/>
          <w:color w:val="auto"/>
        </w:rPr>
        <w:t>规划范围和规划期限</w:t>
      </w:r>
      <w:bookmarkEnd w:id="21"/>
    </w:p>
    <w:p>
      <w:pPr>
        <w:pStyle w:val="4"/>
        <w:spacing w:line="600" w:lineRule="exact"/>
        <w:ind w:firstLine="0" w:firstLineChars="0"/>
        <w:rPr>
          <w:rFonts w:cs="Times New Roman"/>
          <w:color w:val="auto"/>
          <w:sz w:val="30"/>
          <w:szCs w:val="30"/>
        </w:rPr>
      </w:pPr>
      <w:r>
        <w:rPr>
          <w:rFonts w:cs="Times New Roman"/>
          <w:color w:val="auto"/>
          <w:sz w:val="30"/>
          <w:szCs w:val="30"/>
        </w:rPr>
        <w:t>1.5.1规划范围</w:t>
      </w:r>
    </w:p>
    <w:p>
      <w:pPr>
        <w:ind w:firstLine="560"/>
        <w:rPr>
          <w:rFonts w:cs="Times New Roman"/>
          <w:color w:val="auto"/>
        </w:rPr>
      </w:pPr>
      <w:r>
        <w:rPr>
          <w:rFonts w:cs="Times New Roman"/>
          <w:color w:val="auto"/>
        </w:rPr>
        <w:t>本次规划范围为绥棱县行政管辖范围，行政区划包括：绥棱镇、上集镇、四海店镇、双岔河镇、阁山镇、长山镇、靠山乡、后头乡、泥尔河乡、绥中乡和克音河乡 11 个乡镇，以及绥棱林业局和 6 个农场，总面积4312.21平方千米。</w:t>
      </w:r>
    </w:p>
    <w:p>
      <w:pPr>
        <w:pStyle w:val="4"/>
        <w:spacing w:line="600" w:lineRule="exact"/>
        <w:ind w:firstLine="0" w:firstLineChars="0"/>
        <w:rPr>
          <w:rFonts w:cs="Times New Roman"/>
          <w:color w:val="auto"/>
          <w:sz w:val="30"/>
          <w:szCs w:val="30"/>
        </w:rPr>
      </w:pPr>
      <w:r>
        <w:rPr>
          <w:rFonts w:cs="Times New Roman"/>
          <w:color w:val="auto"/>
          <w:sz w:val="30"/>
          <w:szCs w:val="30"/>
        </w:rPr>
        <w:t>1.5.2规划期限</w:t>
      </w:r>
    </w:p>
    <w:p>
      <w:pPr>
        <w:ind w:firstLine="560"/>
        <w:rPr>
          <w:rFonts w:cs="Times New Roman"/>
          <w:color w:val="auto"/>
        </w:rPr>
      </w:pPr>
      <w:r>
        <w:rPr>
          <w:rFonts w:cs="Times New Roman"/>
          <w:color w:val="auto"/>
        </w:rPr>
        <w:t>《规划》以2020年为基准年，规划期为2021—2025年。</w:t>
      </w:r>
    </w:p>
    <w:p>
      <w:pPr>
        <w:pStyle w:val="3"/>
        <w:numPr>
          <w:ilvl w:val="1"/>
          <w:numId w:val="1"/>
        </w:numPr>
        <w:ind w:firstLine="643"/>
        <w:rPr>
          <w:rFonts w:ascii="Times New Roman" w:hAnsi="Times New Roman" w:eastAsia="仿宋" w:cs="Times New Roman"/>
          <w:color w:val="auto"/>
        </w:rPr>
      </w:pPr>
      <w:bookmarkStart w:id="22" w:name="_Toc14886"/>
      <w:r>
        <w:rPr>
          <w:rFonts w:ascii="Times New Roman" w:hAnsi="Times New Roman" w:eastAsia="仿宋" w:cs="Times New Roman"/>
          <w:color w:val="auto"/>
        </w:rPr>
        <w:t>规划技术路线</w:t>
      </w:r>
      <w:bookmarkEnd w:id="22"/>
    </w:p>
    <w:p>
      <w:pPr>
        <w:spacing w:line="240" w:lineRule="auto"/>
        <w:ind w:firstLine="0" w:firstLineChars="0"/>
        <w:jc w:val="center"/>
        <w:rPr>
          <w:rFonts w:cs="Times New Roman"/>
          <w:color w:val="auto"/>
          <w:sz w:val="32"/>
          <w:szCs w:val="32"/>
        </w:rPr>
      </w:pPr>
      <w:r>
        <w:rPr>
          <w:rFonts w:cs="Times New Roman"/>
          <w:color w:val="auto"/>
          <w:sz w:val="32"/>
          <w:szCs w:val="32"/>
        </w:rPr>
        <w:object>
          <v:shape id="_x0000_i1025" o:spt="75" type="#_x0000_t75" style="height:549.85pt;width:356.9pt;" o:ole="t" filled="f" o:preferrelative="t" stroked="f" coordsize="21600,21600">
            <v:path/>
            <v:fill on="f" focussize="0,0"/>
            <v:stroke on="f" joinstyle="miter"/>
            <v:imagedata r:id="rId9" o:title=""/>
            <o:lock v:ext="edit" aspectratio="f"/>
            <w10:wrap type="none"/>
            <w10:anchorlock/>
          </v:shape>
          <o:OLEObject Type="Embed" ProgID="Visio.Drawing.11" ShapeID="_x0000_i1025" DrawAspect="Content" ObjectID="_1468075725" r:id="rId8">
            <o:LockedField>false</o:LockedField>
          </o:OLEObject>
        </w:object>
      </w:r>
    </w:p>
    <w:p>
      <w:pPr>
        <w:ind w:firstLine="562"/>
        <w:jc w:val="center"/>
        <w:rPr>
          <w:rFonts w:eastAsia="宋体" w:cs="Times New Roman"/>
          <w:b/>
          <w:bCs/>
          <w:color w:val="auto"/>
        </w:rPr>
      </w:pPr>
      <w:r>
        <w:rPr>
          <w:rFonts w:cs="Times New Roman"/>
          <w:b/>
          <w:bCs/>
          <w:color w:val="auto"/>
        </w:rPr>
        <w:t>图1-1  规划技术路线</w:t>
      </w:r>
    </w:p>
    <w:p>
      <w:pPr>
        <w:pStyle w:val="2"/>
        <w:ind w:firstLine="0" w:firstLineChars="0"/>
        <w:rPr>
          <w:rFonts w:hint="default" w:ascii="Times New Roman" w:hAnsi="Times New Roman" w:eastAsia="仿宋"/>
          <w:color w:val="auto"/>
        </w:rPr>
        <w:sectPr>
          <w:footerReference r:id="rId6" w:type="default"/>
          <w:pgSz w:w="11906" w:h="16838"/>
          <w:pgMar w:top="1440" w:right="1800" w:bottom="1440" w:left="1800" w:header="851" w:footer="992" w:gutter="0"/>
          <w:pgNumType w:start="1"/>
          <w:cols w:space="425" w:num="1"/>
          <w:docGrid w:type="lines" w:linePitch="312" w:charSpace="0"/>
        </w:sectPr>
      </w:pPr>
    </w:p>
    <w:p>
      <w:pPr>
        <w:pStyle w:val="2"/>
        <w:ind w:firstLine="0" w:firstLineChars="0"/>
        <w:rPr>
          <w:rFonts w:hint="default" w:ascii="Times New Roman" w:hAnsi="Times New Roman" w:eastAsia="仿宋"/>
          <w:color w:val="auto"/>
        </w:rPr>
      </w:pPr>
      <w:bookmarkStart w:id="23" w:name="_Toc26411"/>
      <w:r>
        <w:rPr>
          <w:rFonts w:hint="default" w:ascii="Times New Roman" w:hAnsi="Times New Roman" w:eastAsia="仿宋"/>
          <w:color w:val="auto"/>
        </w:rPr>
        <w:t>2 环境现状</w:t>
      </w:r>
      <w:bookmarkEnd w:id="23"/>
    </w:p>
    <w:p>
      <w:pPr>
        <w:pStyle w:val="3"/>
        <w:ind w:firstLine="0" w:firstLineChars="0"/>
        <w:rPr>
          <w:rFonts w:ascii="Times New Roman" w:hAnsi="Times New Roman" w:eastAsia="仿宋" w:cs="Times New Roman"/>
          <w:color w:val="auto"/>
        </w:rPr>
      </w:pPr>
      <w:bookmarkStart w:id="24" w:name="_Toc28304"/>
      <w:r>
        <w:rPr>
          <w:rFonts w:ascii="Times New Roman" w:hAnsi="Times New Roman" w:eastAsia="仿宋" w:cs="Times New Roman"/>
          <w:color w:val="auto"/>
        </w:rPr>
        <w:t>2.1自然资源状况</w:t>
      </w:r>
      <w:bookmarkEnd w:id="24"/>
    </w:p>
    <w:p>
      <w:pPr>
        <w:pStyle w:val="4"/>
        <w:spacing w:line="600" w:lineRule="exact"/>
        <w:ind w:firstLine="0" w:firstLineChars="0"/>
        <w:rPr>
          <w:rFonts w:cs="Times New Roman"/>
          <w:color w:val="auto"/>
          <w:sz w:val="30"/>
          <w:szCs w:val="30"/>
        </w:rPr>
      </w:pPr>
      <w:r>
        <w:rPr>
          <w:rFonts w:cs="Times New Roman"/>
          <w:color w:val="auto"/>
          <w:sz w:val="30"/>
          <w:szCs w:val="30"/>
        </w:rPr>
        <w:t>2.1.1地理位置</w:t>
      </w:r>
    </w:p>
    <w:p>
      <w:pPr>
        <w:spacing w:line="600" w:lineRule="exact"/>
        <w:ind w:firstLine="560"/>
        <w:rPr>
          <w:rFonts w:cs="Times New Roman"/>
          <w:color w:val="auto"/>
        </w:rPr>
      </w:pPr>
      <w:r>
        <w:rPr>
          <w:rFonts w:cs="Times New Roman"/>
          <w:color w:val="auto"/>
        </w:rPr>
        <w:t>绥棱县位于黑龙江省中部，小兴安岭山脉南端西麓。县境图形，东北至西南方向呈狭长状。纵向最长达 142 公里、横向最宽处46 公里。地理坐标：东经 126°59′08″至 128°20′42″，北纬47°02′48″至 48°05′41″范围内。东北临伊春市，北接逊克县，西北及西边与北安市、海伦县隔河相望，西南与南方同绥化市毗邻，东南边界与庆安县接壤。县域行政区划图见附图</w:t>
      </w:r>
      <w:r>
        <w:rPr>
          <w:rFonts w:hint="eastAsia" w:cs="Times New Roman"/>
          <w:color w:val="auto"/>
        </w:rPr>
        <w:t>1</w:t>
      </w:r>
      <w:r>
        <w:rPr>
          <w:rFonts w:cs="Times New Roman"/>
          <w:color w:val="auto"/>
        </w:rPr>
        <w:t>。</w:t>
      </w:r>
    </w:p>
    <w:p>
      <w:pPr>
        <w:pStyle w:val="4"/>
        <w:spacing w:line="600" w:lineRule="exact"/>
        <w:ind w:firstLine="0" w:firstLineChars="0"/>
        <w:rPr>
          <w:rFonts w:cs="Times New Roman"/>
          <w:color w:val="auto"/>
          <w:sz w:val="30"/>
          <w:szCs w:val="30"/>
        </w:rPr>
      </w:pPr>
      <w:r>
        <w:rPr>
          <w:rFonts w:cs="Times New Roman"/>
          <w:color w:val="auto"/>
          <w:sz w:val="30"/>
          <w:szCs w:val="30"/>
        </w:rPr>
        <w:t>2.1.2地形地貌</w:t>
      </w:r>
    </w:p>
    <w:p>
      <w:pPr>
        <w:spacing w:line="600" w:lineRule="exact"/>
        <w:ind w:firstLine="560"/>
        <w:rPr>
          <w:rFonts w:cs="Times New Roman"/>
          <w:color w:val="auto"/>
        </w:rPr>
      </w:pPr>
      <w:r>
        <w:rPr>
          <w:rFonts w:cs="Times New Roman"/>
          <w:color w:val="auto"/>
        </w:rPr>
        <w:t>绥棱县地处松嫩平原东北边缘，松嫩盆地与小兴安岭山地结合部，为新构造运动东部隆起带。地势东北高西南低，由东北向西南缓倾斜，其东北部为山区，最高海拔711.9m；向西南逐渐过渡到岗阜状台地、一级阶地、漫滩，最低海拔169.9m。境内水系发育，墨尔根河、克音河从东西县界流过，努敏河从其中间穿过。受东部隆起带的影响，地势由东北向西南缓倾，地貌按成因类型依次为剥蚀堆积地形、堆积地形；按形态可分为岗阜状台地、缓倾斜台地、一级阶地和河漫滩。</w:t>
      </w:r>
    </w:p>
    <w:p>
      <w:pPr>
        <w:spacing w:line="600" w:lineRule="exact"/>
        <w:ind w:firstLine="560"/>
        <w:rPr>
          <w:rFonts w:cs="Times New Roman"/>
          <w:color w:val="auto"/>
        </w:rPr>
      </w:pPr>
      <w:r>
        <w:rPr>
          <w:rFonts w:cs="Times New Roman"/>
          <w:color w:val="auto"/>
        </w:rPr>
        <w:t>（1）剥蚀堆积地形</w:t>
      </w:r>
    </w:p>
    <w:p>
      <w:pPr>
        <w:spacing w:line="600" w:lineRule="exact"/>
        <w:ind w:firstLine="560"/>
        <w:rPr>
          <w:rFonts w:cs="Times New Roman"/>
          <w:color w:val="auto"/>
        </w:rPr>
      </w:pPr>
      <w:r>
        <w:rPr>
          <w:rFonts w:cs="Times New Roman"/>
          <w:color w:val="auto"/>
        </w:rPr>
        <w:t>岗阜状台地：分布在克音河与努敏河之间。台面高程190-232m之间，地势东北高西南低，冲沟发育，台面侵蚀切割较强烈，呈岗阜状起伏。堆积物组成为第四系中更新统上荒山组（仅在山前有小面积的口门子组冲洪积地层）冲洪积的黄土状亚粘土、亚粘土，下部为断续分布的细砂、砾石。</w:t>
      </w:r>
    </w:p>
    <w:p>
      <w:pPr>
        <w:spacing w:line="600" w:lineRule="exact"/>
        <w:ind w:firstLine="560"/>
        <w:rPr>
          <w:rFonts w:cs="Times New Roman"/>
          <w:color w:val="auto"/>
        </w:rPr>
      </w:pPr>
      <w:r>
        <w:rPr>
          <w:rFonts w:cs="Times New Roman"/>
          <w:color w:val="auto"/>
        </w:rPr>
        <w:t>缓倾斜台地：分布于努敏河与墨尔根河之间。台面高程190-220m之间，地势北高南低，略有起伏，与一级阶地以缓坡相接。堆积物组成为第四系冲洪积的黄土状亚粘土、亚粘土，下部砂砾石。</w:t>
      </w:r>
    </w:p>
    <w:p>
      <w:pPr>
        <w:spacing w:line="600" w:lineRule="exact"/>
        <w:ind w:firstLine="560"/>
        <w:rPr>
          <w:rFonts w:cs="Times New Roman"/>
          <w:color w:val="auto"/>
        </w:rPr>
      </w:pPr>
      <w:r>
        <w:rPr>
          <w:rFonts w:cs="Times New Roman"/>
          <w:color w:val="auto"/>
        </w:rPr>
        <w:t>（2）堆积地形</w:t>
      </w:r>
    </w:p>
    <w:p>
      <w:pPr>
        <w:spacing w:line="600" w:lineRule="exact"/>
        <w:ind w:firstLine="560"/>
        <w:rPr>
          <w:rFonts w:cs="Times New Roman"/>
          <w:color w:val="auto"/>
        </w:rPr>
      </w:pPr>
      <w:r>
        <w:rPr>
          <w:rFonts w:cs="Times New Roman"/>
          <w:color w:val="auto"/>
        </w:rPr>
        <w:t>一级阶地：分布在努敏河、克音河左岸，与漫滩界线明显，阶地前缘陡坎发育，地表高程150-170m，地势平缓，略有小起伏，堆积物组成为第四系上更新统顾乡屯组冲积的黄土状亚粘土，下部为粗砂、砾石。</w:t>
      </w:r>
    </w:p>
    <w:p>
      <w:pPr>
        <w:spacing w:line="600" w:lineRule="exact"/>
        <w:ind w:firstLine="560"/>
        <w:rPr>
          <w:rFonts w:cs="Times New Roman"/>
          <w:color w:val="auto"/>
        </w:rPr>
      </w:pPr>
      <w:r>
        <w:rPr>
          <w:rFonts w:cs="Times New Roman"/>
          <w:color w:val="auto"/>
        </w:rPr>
        <w:t>河漫滩：分布在克音河左岸，墨尔根河右岸及努敏河两岸，漫滩表面较平坦，地表高程135-140m，其上牛轭湖、沼泽发育，堆积物组成为第四系全新统冲洪积的亚粘土，砂砾石。</w:t>
      </w:r>
    </w:p>
    <w:p>
      <w:pPr>
        <w:pStyle w:val="4"/>
        <w:spacing w:line="600" w:lineRule="exact"/>
        <w:ind w:firstLine="0" w:firstLineChars="0"/>
        <w:rPr>
          <w:rFonts w:cs="Times New Roman"/>
          <w:color w:val="auto"/>
          <w:sz w:val="30"/>
          <w:szCs w:val="30"/>
        </w:rPr>
      </w:pPr>
      <w:r>
        <w:rPr>
          <w:rFonts w:cs="Times New Roman"/>
          <w:color w:val="auto"/>
          <w:sz w:val="30"/>
          <w:szCs w:val="30"/>
        </w:rPr>
        <w:t>2.1.3气候气象</w:t>
      </w:r>
    </w:p>
    <w:p>
      <w:pPr>
        <w:spacing w:line="600" w:lineRule="exact"/>
        <w:ind w:firstLine="560"/>
        <w:rPr>
          <w:rFonts w:cs="Times New Roman"/>
          <w:color w:val="auto"/>
        </w:rPr>
      </w:pPr>
      <w:r>
        <w:rPr>
          <w:rFonts w:cs="Times New Roman"/>
          <w:color w:val="auto"/>
        </w:rPr>
        <w:t>绥棱县属中温带大陆性季风气候，其特点是寒暑变化明显，春季多风少雨干旱，夏季短促且高温多雨，秋季降温急剧而早霜，冬季漫长严寒少雪。多年平均气温1.6℃，最冷一月份平均气温-22.8℃，极端最低气温-42.4℃，最热7月份平均气温21.7℃，极端最高气温37.3℃。多年平均日照时数2777.3h，≥10℃的活动积温2460℃。无霜期124天，季节性最大冻深2.3m。</w:t>
      </w:r>
    </w:p>
    <w:p>
      <w:pPr>
        <w:spacing w:line="600" w:lineRule="exact"/>
        <w:ind w:firstLine="560"/>
        <w:rPr>
          <w:rFonts w:cs="Times New Roman"/>
          <w:color w:val="auto"/>
        </w:rPr>
      </w:pPr>
      <w:r>
        <w:rPr>
          <w:rFonts w:cs="Times New Roman"/>
          <w:color w:val="auto"/>
        </w:rPr>
        <w:t>多年平均降水量636mm，降水年际、年内分配不均，降水量多集中在6-8月份，雨量占全年的70-80%左右。多年平均蒸发量（E601）700mm，蒸发主要集中在6-8月份，6-8月份蒸发量占全年蒸发量的45.6%。</w:t>
      </w:r>
    </w:p>
    <w:p>
      <w:pPr>
        <w:pStyle w:val="4"/>
        <w:spacing w:line="600" w:lineRule="exact"/>
        <w:ind w:firstLine="0" w:firstLineChars="0"/>
        <w:rPr>
          <w:rFonts w:cs="Times New Roman"/>
          <w:color w:val="auto"/>
          <w:sz w:val="30"/>
          <w:szCs w:val="30"/>
        </w:rPr>
      </w:pPr>
      <w:r>
        <w:rPr>
          <w:rFonts w:cs="Times New Roman"/>
          <w:color w:val="auto"/>
          <w:sz w:val="30"/>
          <w:szCs w:val="30"/>
        </w:rPr>
        <w:t>2.1.4水资源</w:t>
      </w:r>
    </w:p>
    <w:p>
      <w:pPr>
        <w:spacing w:line="600" w:lineRule="exact"/>
        <w:ind w:firstLine="560"/>
        <w:rPr>
          <w:rFonts w:cs="Times New Roman"/>
          <w:color w:val="auto"/>
        </w:rPr>
      </w:pPr>
      <w:r>
        <w:rPr>
          <w:rFonts w:cs="Times New Roman"/>
          <w:color w:val="auto"/>
        </w:rPr>
        <w:t>绥棱县河流较多，共有河流52条，除南北河属嫩江流域外，其它同属松花江流域，其中流域面积在50km</w:t>
      </w:r>
      <w:r>
        <w:rPr>
          <w:rFonts w:cs="Times New Roman"/>
          <w:color w:val="auto"/>
          <w:vertAlign w:val="superscript"/>
        </w:rPr>
        <w:t>2</w:t>
      </w:r>
      <w:r>
        <w:rPr>
          <w:rFonts w:cs="Times New Roman"/>
          <w:color w:val="auto"/>
        </w:rPr>
        <w:t>以上的共有11条，主要河流除努敏河、克音河、墨尔根河外，还有较大支流：北股流河、九道河、八道河、义气松河、大鸡爪河等。</w:t>
      </w:r>
    </w:p>
    <w:p>
      <w:pPr>
        <w:spacing w:line="600" w:lineRule="exact"/>
        <w:ind w:firstLine="560"/>
        <w:rPr>
          <w:rFonts w:cs="Times New Roman"/>
          <w:color w:val="auto"/>
        </w:rPr>
      </w:pPr>
      <w:r>
        <w:rPr>
          <w:rFonts w:cs="Times New Roman"/>
          <w:color w:val="auto"/>
        </w:rPr>
        <w:t>绥棱县境内有3条主要河流，为努敏河、克音河和墨尔根河。3条河流均属于松花江流域呼兰河水系，自东北山区流向西南。努敏河贯穿全县中部，克音河位于县境西北，是绥棱县与海伦县的界河，墨尔根河位于县境东南，为绥棱县与庆安县的界河，河流均属降水补给型、季节性河流，流量均受上游降水影响，上游降水量大则径流量大，反之亦然，每年7、8、9月份为汛期，11月初至翌年4月中旬河水冻结，克音河、墨尔根河常有冰冻断流年份。</w:t>
      </w:r>
    </w:p>
    <w:p>
      <w:pPr>
        <w:spacing w:line="600" w:lineRule="exact"/>
        <w:ind w:firstLine="560"/>
        <w:rPr>
          <w:rFonts w:cs="Times New Roman"/>
          <w:color w:val="auto"/>
        </w:rPr>
      </w:pPr>
      <w:r>
        <w:rPr>
          <w:rFonts w:cs="Times New Roman"/>
          <w:color w:val="auto"/>
        </w:rPr>
        <w:t>（1）努敏河</w:t>
      </w:r>
    </w:p>
    <w:p>
      <w:pPr>
        <w:spacing w:line="600" w:lineRule="exact"/>
        <w:ind w:firstLine="560"/>
        <w:rPr>
          <w:rFonts w:cs="Times New Roman"/>
          <w:color w:val="auto"/>
        </w:rPr>
      </w:pPr>
      <w:r>
        <w:rPr>
          <w:rFonts w:cs="Times New Roman"/>
          <w:color w:val="auto"/>
        </w:rPr>
        <w:t>努敏河又称为诺敏河，为绥棱县境内最大河流。发源于境内东北小兴安岭西麓北股流山区，区内最高山峰海拔494m，中游地势渐缓，河道多折，阁山镇以上河流平均比降1.23%，平均流域宽度17km，河床宽40-70m，阁山镇以下河宽70-90m，河流比降1/1600，下流河流较缓，河床宽阔。努敏河全长285km，县内河长206.5km，流域面积3023.8km</w:t>
      </w:r>
      <w:r>
        <w:rPr>
          <w:rFonts w:cs="Times New Roman"/>
          <w:color w:val="auto"/>
          <w:vertAlign w:val="superscript"/>
        </w:rPr>
        <w:t>2</w:t>
      </w:r>
      <w:r>
        <w:rPr>
          <w:rFonts w:cs="Times New Roman"/>
          <w:color w:val="auto"/>
        </w:rPr>
        <w:t>。据努敏河阁山水文站资料，努敏河多年平均径流量为6.99×10</w:t>
      </w:r>
      <w:r>
        <w:rPr>
          <w:rFonts w:cs="Times New Roman"/>
          <w:color w:val="auto"/>
          <w:vertAlign w:val="superscript"/>
        </w:rPr>
        <w:t>8</w:t>
      </w:r>
      <w:r>
        <w:rPr>
          <w:rFonts w:cs="Times New Roman"/>
          <w:color w:val="auto"/>
        </w:rPr>
        <w:t>m</w:t>
      </w:r>
      <w:r>
        <w:rPr>
          <w:rFonts w:cs="Times New Roman"/>
          <w:color w:val="auto"/>
          <w:vertAlign w:val="superscript"/>
        </w:rPr>
        <w:t>3</w:t>
      </w:r>
      <w:r>
        <w:rPr>
          <w:rFonts w:cs="Times New Roman"/>
          <w:color w:val="auto"/>
        </w:rPr>
        <w:t>，年际变化较大，最大年径流量为11.4×10</w:t>
      </w:r>
      <w:r>
        <w:rPr>
          <w:rFonts w:cs="Times New Roman"/>
          <w:color w:val="auto"/>
          <w:vertAlign w:val="superscript"/>
        </w:rPr>
        <w:t>8</w:t>
      </w:r>
      <w:r>
        <w:rPr>
          <w:rFonts w:cs="Times New Roman"/>
          <w:color w:val="auto"/>
        </w:rPr>
        <w:t>m</w:t>
      </w:r>
      <w:r>
        <w:rPr>
          <w:rFonts w:cs="Times New Roman"/>
          <w:color w:val="auto"/>
          <w:vertAlign w:val="superscript"/>
        </w:rPr>
        <w:t>3</w:t>
      </w:r>
      <w:r>
        <w:rPr>
          <w:rFonts w:cs="Times New Roman"/>
          <w:color w:val="auto"/>
        </w:rPr>
        <w:t>，最小年径流量为2.8×10</w:t>
      </w:r>
      <w:r>
        <w:rPr>
          <w:rFonts w:cs="Times New Roman"/>
          <w:color w:val="auto"/>
          <w:vertAlign w:val="superscript"/>
        </w:rPr>
        <w:t>8</w:t>
      </w:r>
      <w:r>
        <w:rPr>
          <w:rFonts w:cs="Times New Roman"/>
          <w:color w:val="auto"/>
        </w:rPr>
        <w:t>m</w:t>
      </w:r>
      <w:r>
        <w:rPr>
          <w:rFonts w:cs="Times New Roman"/>
          <w:color w:val="auto"/>
          <w:vertAlign w:val="superscript"/>
        </w:rPr>
        <w:t>3</w:t>
      </w:r>
      <w:r>
        <w:rPr>
          <w:rFonts w:cs="Times New Roman"/>
          <w:color w:val="auto"/>
        </w:rPr>
        <w:t>，最大年径流量为最小年径流量的4.1倍。径流时空分布不均，每年的6-9月份径流量约占全年径流量的50-58%。</w:t>
      </w:r>
    </w:p>
    <w:p>
      <w:pPr>
        <w:spacing w:line="600" w:lineRule="exact"/>
        <w:ind w:firstLine="560"/>
        <w:rPr>
          <w:rFonts w:cs="Times New Roman"/>
          <w:color w:val="auto"/>
        </w:rPr>
      </w:pPr>
      <w:r>
        <w:rPr>
          <w:rFonts w:cs="Times New Roman"/>
          <w:color w:val="auto"/>
        </w:rPr>
        <w:t>努敏河自源头起，于绥棱县境内，流经林业管理总局绥棱林业局所辖的双股流、建兴、六棵松、老山头、张家湾后，又穿越县内7个乡镇，于泥尔河乡流入绥化市北林区境内，于绥化市秦家镇汇入呼兰河。</w:t>
      </w:r>
    </w:p>
    <w:p>
      <w:pPr>
        <w:spacing w:line="600" w:lineRule="exact"/>
        <w:ind w:firstLine="560"/>
        <w:rPr>
          <w:rFonts w:cs="Times New Roman"/>
          <w:color w:val="auto"/>
        </w:rPr>
      </w:pPr>
      <w:r>
        <w:rPr>
          <w:rFonts w:cs="Times New Roman"/>
          <w:color w:val="auto"/>
        </w:rPr>
        <w:t>努敏河支流众多，大部分在林区，主要支流有35条，其中较大的支流有北股流河、义松河、六棵松河、大鸡爪河、双股流河、头道河子、二道河子等。</w:t>
      </w:r>
    </w:p>
    <w:p>
      <w:pPr>
        <w:spacing w:line="600" w:lineRule="exact"/>
        <w:ind w:firstLine="560"/>
        <w:rPr>
          <w:rFonts w:cs="Times New Roman"/>
          <w:color w:val="auto"/>
        </w:rPr>
      </w:pPr>
      <w:r>
        <w:rPr>
          <w:rFonts w:cs="Times New Roman"/>
          <w:color w:val="auto"/>
        </w:rPr>
        <w:t>（2）克音河</w:t>
      </w:r>
    </w:p>
    <w:p>
      <w:pPr>
        <w:spacing w:line="600" w:lineRule="exact"/>
        <w:ind w:firstLine="560"/>
        <w:rPr>
          <w:rFonts w:cs="Times New Roman"/>
          <w:color w:val="auto"/>
        </w:rPr>
      </w:pPr>
      <w:r>
        <w:rPr>
          <w:rFonts w:cs="Times New Roman"/>
          <w:color w:val="auto"/>
        </w:rPr>
        <w:t>克音河是绥棱县与海伦县界河。发源于境内北部小兴安岭南麓山区，源头有东西两处。东源头为绥棱县半截河林场木耳营北山，区内最高山峰海拔325m，西源头为海伦县陈家店林场西方布伦山，最高海拔281m，两源头之水，于县境内双岔河镇繁荣村西南处汇合沿县界流向西南。</w:t>
      </w:r>
    </w:p>
    <w:p>
      <w:pPr>
        <w:spacing w:line="600" w:lineRule="exact"/>
        <w:ind w:firstLine="560"/>
        <w:rPr>
          <w:rFonts w:cs="Times New Roman"/>
          <w:color w:val="auto"/>
        </w:rPr>
      </w:pPr>
      <w:r>
        <w:rPr>
          <w:rFonts w:cs="Times New Roman"/>
          <w:color w:val="auto"/>
        </w:rPr>
        <w:t>克音河自源头起，流经半截河林场、绥棱农场、双岔河镇、绥中乡、克音河乡，再经靠山乡、后头乡，并于后头乡红光村郭家屯西南1.25km流出绥棱县。河流全长147km，流域总面积2027.7km</w:t>
      </w:r>
      <w:r>
        <w:rPr>
          <w:rFonts w:cs="Times New Roman"/>
          <w:color w:val="auto"/>
          <w:vertAlign w:val="superscript"/>
        </w:rPr>
        <w:t>2</w:t>
      </w:r>
      <w:r>
        <w:rPr>
          <w:rFonts w:cs="Times New Roman"/>
          <w:color w:val="auto"/>
        </w:rPr>
        <w:t>。绥棱县境内长度89.5km，流域面积1269km</w:t>
      </w:r>
      <w:r>
        <w:rPr>
          <w:rFonts w:cs="Times New Roman"/>
          <w:color w:val="auto"/>
          <w:vertAlign w:val="superscript"/>
        </w:rPr>
        <w:t>2</w:t>
      </w:r>
      <w:r>
        <w:rPr>
          <w:rFonts w:cs="Times New Roman"/>
          <w:color w:val="auto"/>
        </w:rPr>
        <w:t>，克音河上游河宽4-8m，下游最大宽34m，水深0.5-1.5m。滩地宽1-2km，上游河段为半山区，中、下游多丘陵、沼泽地。多年平均径流量1.362×10</w:t>
      </w:r>
      <w:r>
        <w:rPr>
          <w:rFonts w:cs="Times New Roman"/>
          <w:color w:val="auto"/>
          <w:vertAlign w:val="superscript"/>
        </w:rPr>
        <w:t>8</w:t>
      </w:r>
      <w:r>
        <w:rPr>
          <w:rFonts w:cs="Times New Roman"/>
          <w:color w:val="auto"/>
        </w:rPr>
        <w:t>m</w:t>
      </w:r>
      <w:r>
        <w:rPr>
          <w:rFonts w:cs="Times New Roman"/>
          <w:color w:val="auto"/>
          <w:vertAlign w:val="superscript"/>
        </w:rPr>
        <w:t>3</w:t>
      </w:r>
      <w:r>
        <w:rPr>
          <w:rFonts w:cs="Times New Roman"/>
          <w:color w:val="auto"/>
        </w:rPr>
        <w:t>，河道平均比降1/800—1/1000。</w:t>
      </w:r>
    </w:p>
    <w:p>
      <w:pPr>
        <w:spacing w:line="600" w:lineRule="exact"/>
        <w:ind w:firstLine="560"/>
        <w:rPr>
          <w:rFonts w:cs="Times New Roman"/>
          <w:color w:val="auto"/>
        </w:rPr>
      </w:pPr>
      <w:r>
        <w:rPr>
          <w:rFonts w:cs="Times New Roman"/>
          <w:color w:val="auto"/>
        </w:rPr>
        <w:t>（3）墨尔根河</w:t>
      </w:r>
    </w:p>
    <w:p>
      <w:pPr>
        <w:spacing w:line="600" w:lineRule="exact"/>
        <w:ind w:firstLine="560"/>
        <w:rPr>
          <w:rFonts w:cs="Times New Roman"/>
          <w:color w:val="auto"/>
        </w:rPr>
      </w:pPr>
      <w:r>
        <w:rPr>
          <w:rFonts w:cs="Times New Roman"/>
          <w:color w:val="auto"/>
        </w:rPr>
        <w:t>为绥棱县与庆安县的界河。发源于绥棱和庆安县交界的青水山，山峰海拔379.4m，流经长山镇三吉台、泥尔河乡东南，于泥尔河乡卫星村东南1km处流出县境，又经绥化市、庆安县边境，直下西南，于绥化市五营乡徐家围子屯东南2.8km处汇入呼兰河。河道全长85.3km，流域总面积442.88km</w:t>
      </w:r>
      <w:r>
        <w:rPr>
          <w:rFonts w:cs="Times New Roman"/>
          <w:color w:val="auto"/>
          <w:vertAlign w:val="superscript"/>
        </w:rPr>
        <w:t>2</w:t>
      </w:r>
      <w:r>
        <w:rPr>
          <w:rFonts w:cs="Times New Roman"/>
          <w:color w:val="auto"/>
        </w:rPr>
        <w:t>，绥棱县境内长18.5km，流域面积53km</w:t>
      </w:r>
      <w:r>
        <w:rPr>
          <w:rFonts w:cs="Times New Roman"/>
          <w:color w:val="auto"/>
          <w:vertAlign w:val="superscript"/>
        </w:rPr>
        <w:t>2</w:t>
      </w:r>
      <w:r>
        <w:rPr>
          <w:rFonts w:cs="Times New Roman"/>
          <w:color w:val="auto"/>
        </w:rPr>
        <w:t>，多年平均径流量3387×10</w:t>
      </w:r>
      <w:r>
        <w:rPr>
          <w:rFonts w:cs="Times New Roman"/>
          <w:color w:val="auto"/>
          <w:vertAlign w:val="superscript"/>
        </w:rPr>
        <w:t>4</w:t>
      </w:r>
      <w:r>
        <w:rPr>
          <w:rFonts w:cs="Times New Roman"/>
          <w:color w:val="auto"/>
        </w:rPr>
        <w:t>m</w:t>
      </w:r>
      <w:r>
        <w:rPr>
          <w:rFonts w:cs="Times New Roman"/>
          <w:color w:val="auto"/>
          <w:vertAlign w:val="superscript"/>
        </w:rPr>
        <w:t>3</w:t>
      </w:r>
      <w:r>
        <w:rPr>
          <w:rFonts w:cs="Times New Roman"/>
          <w:color w:val="auto"/>
        </w:rPr>
        <w:t>。河道平均比降1/500—1/1000。</w:t>
      </w:r>
    </w:p>
    <w:p>
      <w:pPr>
        <w:pStyle w:val="4"/>
        <w:spacing w:line="600" w:lineRule="exact"/>
        <w:ind w:firstLine="0" w:firstLineChars="0"/>
        <w:rPr>
          <w:rFonts w:cs="Times New Roman"/>
          <w:color w:val="auto"/>
          <w:sz w:val="30"/>
          <w:szCs w:val="30"/>
        </w:rPr>
      </w:pPr>
      <w:r>
        <w:rPr>
          <w:rFonts w:cs="Times New Roman"/>
          <w:color w:val="auto"/>
          <w:sz w:val="30"/>
          <w:szCs w:val="30"/>
        </w:rPr>
        <w:t>2.1.5土壤植被</w:t>
      </w:r>
    </w:p>
    <w:p>
      <w:pPr>
        <w:spacing w:line="600" w:lineRule="exact"/>
        <w:ind w:firstLine="560"/>
        <w:rPr>
          <w:rFonts w:cs="Times New Roman"/>
          <w:color w:val="auto"/>
        </w:rPr>
      </w:pPr>
      <w:r>
        <w:rPr>
          <w:rFonts w:cs="Times New Roman"/>
          <w:color w:val="auto"/>
        </w:rPr>
        <w:t>绥棱县境内土壤共有 7 种类型，为暗棕壤、白浆土、黑土、草甸土、沼泽土、泥炭土、泛滥土。山区广布暗棕壤，土质结构良好，潜在肥力大，适合林木生长，白浆土分布于山前台地，养分低微，沼泽土分布于三吉台林区一带，含有丰富的有机质及氮素，泛滥土、草甸土，分布于 3 条河流河床及低漫滩、河谷一级阶地上，结构良好，养分高，黑土遍布境内农耕区，腐殖质厚，肥力大。绥棱县境内的植被主要表现在森林植被上，林地面积为 225207 公顷。</w:t>
      </w:r>
    </w:p>
    <w:p>
      <w:pPr>
        <w:spacing w:line="600" w:lineRule="exact"/>
        <w:ind w:firstLine="560"/>
        <w:rPr>
          <w:rFonts w:cs="Times New Roman"/>
          <w:color w:val="auto"/>
        </w:rPr>
      </w:pPr>
      <w:r>
        <w:rPr>
          <w:rFonts w:cs="Times New Roman"/>
          <w:color w:val="auto"/>
        </w:rPr>
        <w:t>绥棱县自然条件复杂，自然植被种类繁多。植物资源分布面广，品种多、资源茂盛。山区中食用菌、山野菜、野果等山产品种类繁多，主要有蕨菜、蘑菇、党参、五味子等 30 余种。植被属长白山植物区系，林区北部尚有少量的红松、云杉、水曲柳等天然树种外，其他部分已变为以山杨、柞树、黑桦、白桦等为主的天然次生林。其中有椴树、色树、榆树等树种混生，林分以阔叶混交林为主，纯林多呈小面积分布。在交通较方便的南部地区，营造成了大面积的人工林，树种以落叶松为主，其次为樟子松、红松、云杉、水曲柳等。植物属于长白山植物分布区，</w:t>
      </w:r>
      <w:r>
        <w:rPr>
          <w:rFonts w:hint="eastAsia" w:cs="Times New Roman"/>
          <w:color w:val="auto"/>
          <w:lang w:eastAsia="zh-CN"/>
        </w:rPr>
        <w:t>小兴安岭地区</w:t>
      </w:r>
      <w:r>
        <w:rPr>
          <w:rFonts w:cs="Times New Roman"/>
          <w:color w:val="auto"/>
        </w:rPr>
        <w:t>。林内下木种类较多，灌木有榛子、毛榛子、山梅花、茶条槭、刺五加、绣线菊、野玫瑰等；草本植被有苔草、蕨类、山蒿、小叶芹、小叶章、玲兰等。下木草本生长茂密，覆盖度平均在 70％左右。</w:t>
      </w:r>
    </w:p>
    <w:p>
      <w:pPr>
        <w:pStyle w:val="4"/>
        <w:spacing w:line="600" w:lineRule="exact"/>
        <w:ind w:firstLine="0" w:firstLineChars="0"/>
        <w:rPr>
          <w:rFonts w:cs="Times New Roman"/>
          <w:color w:val="auto"/>
          <w:sz w:val="30"/>
          <w:szCs w:val="30"/>
        </w:rPr>
      </w:pPr>
      <w:r>
        <w:rPr>
          <w:rFonts w:cs="Times New Roman"/>
          <w:color w:val="auto"/>
          <w:sz w:val="30"/>
          <w:szCs w:val="30"/>
        </w:rPr>
        <w:t>2.1.6矿产资源</w:t>
      </w:r>
    </w:p>
    <w:p>
      <w:pPr>
        <w:spacing w:line="600" w:lineRule="exact"/>
        <w:ind w:firstLine="560"/>
        <w:rPr>
          <w:rFonts w:cs="Times New Roman"/>
          <w:color w:val="auto"/>
        </w:rPr>
      </w:pPr>
      <w:r>
        <w:rPr>
          <w:rFonts w:cs="Times New Roman"/>
          <w:color w:val="auto"/>
        </w:rPr>
        <w:t>绥棱县矿产资源较为丰富，目前发现矿产种类 20 余种，其中成规模的矿产种类有：</w:t>
      </w:r>
    </w:p>
    <w:p>
      <w:pPr>
        <w:spacing w:line="600" w:lineRule="exact"/>
        <w:ind w:firstLine="560"/>
        <w:rPr>
          <w:rFonts w:cs="Times New Roman"/>
          <w:color w:val="auto"/>
        </w:rPr>
      </w:pPr>
      <w:r>
        <w:rPr>
          <w:rFonts w:cs="Times New Roman"/>
          <w:color w:val="auto"/>
        </w:rPr>
        <w:t>白云岩矿：位于绥棱跃进林场，该矿种可以</w:t>
      </w:r>
      <w:r>
        <w:rPr>
          <w:rFonts w:hint="eastAsia" w:cs="Times New Roman"/>
          <w:color w:val="auto"/>
          <w:lang w:eastAsia="zh-CN"/>
        </w:rPr>
        <w:t>用作生产</w:t>
      </w:r>
      <w:r>
        <w:rPr>
          <w:rFonts w:cs="Times New Roman"/>
          <w:color w:val="auto"/>
        </w:rPr>
        <w:t>白灰、无机涂料、陶瓷配料等，也可用于耐火材料及熔剂等。该矿种只做过地质普查，估算保有储量在 200 万吨以上。</w:t>
      </w:r>
    </w:p>
    <w:p>
      <w:pPr>
        <w:spacing w:line="600" w:lineRule="exact"/>
        <w:ind w:firstLine="560"/>
        <w:rPr>
          <w:rFonts w:cs="Times New Roman"/>
          <w:color w:val="auto"/>
        </w:rPr>
      </w:pPr>
      <w:r>
        <w:rPr>
          <w:rFonts w:cs="Times New Roman"/>
          <w:color w:val="auto"/>
        </w:rPr>
        <w:t>大理岩矿：目前绥棱县境内有两个主要的大理岩矿点，分别为八一大理岩矿和及高岚大理岩矿。</w:t>
      </w:r>
    </w:p>
    <w:p>
      <w:pPr>
        <w:spacing w:line="600" w:lineRule="exact"/>
        <w:ind w:firstLine="560"/>
        <w:rPr>
          <w:rFonts w:cs="Times New Roman"/>
          <w:color w:val="auto"/>
        </w:rPr>
      </w:pPr>
      <w:r>
        <w:rPr>
          <w:rFonts w:cs="Times New Roman"/>
          <w:color w:val="auto"/>
        </w:rPr>
        <w:t>（1）八一大理岩矿：估算矿石储量为 215 万吨，位于绥棱县东北部。储量虽然不大，但矿石质量好，适合生产重体碳酸钙粉。</w:t>
      </w:r>
    </w:p>
    <w:p>
      <w:pPr>
        <w:spacing w:line="600" w:lineRule="exact"/>
        <w:ind w:firstLine="560"/>
        <w:rPr>
          <w:rFonts w:cs="Times New Roman"/>
          <w:color w:val="auto"/>
        </w:rPr>
      </w:pPr>
      <w:r>
        <w:rPr>
          <w:rFonts w:cs="Times New Roman"/>
          <w:color w:val="auto"/>
        </w:rPr>
        <w:t>（2）高岚大理岩矿：位于绥棱县跃进林场，可用做工艺美术品的加工，雕刻，块度大的可用于加工墓碑石等。</w:t>
      </w:r>
    </w:p>
    <w:p>
      <w:pPr>
        <w:spacing w:line="600" w:lineRule="exact"/>
        <w:ind w:firstLine="560"/>
        <w:rPr>
          <w:rFonts w:cs="Times New Roman"/>
          <w:color w:val="auto"/>
        </w:rPr>
      </w:pPr>
      <w:r>
        <w:rPr>
          <w:rFonts w:cs="Times New Roman"/>
          <w:color w:val="auto"/>
        </w:rPr>
        <w:t>膨润土矿：位于绥棱县跃进林场，储量估算为 200 万吨以上。该矿种初步确定为钙基土，可用于动植物脱色剂和净化剂、填充剂、干燥剂、过滤剂等。</w:t>
      </w:r>
    </w:p>
    <w:p>
      <w:pPr>
        <w:spacing w:line="600" w:lineRule="exact"/>
        <w:ind w:firstLine="560"/>
        <w:rPr>
          <w:rFonts w:cs="Times New Roman"/>
          <w:color w:val="auto"/>
        </w:rPr>
      </w:pPr>
      <w:r>
        <w:rPr>
          <w:rFonts w:cs="Times New Roman"/>
          <w:color w:val="auto"/>
        </w:rPr>
        <w:t>透辉石矿：位于绥棱县跃进林场，是一种新型陶瓷原料，透辉石是一种针状、柱状矿物，不含有机质，无吸附水，无结晶水，这些特点有利于陶瓷生产预热及快速升高，储量不详。</w:t>
      </w:r>
    </w:p>
    <w:p>
      <w:pPr>
        <w:spacing w:line="600" w:lineRule="exact"/>
        <w:ind w:firstLine="560"/>
        <w:rPr>
          <w:rFonts w:cs="Times New Roman"/>
          <w:color w:val="auto"/>
        </w:rPr>
      </w:pPr>
      <w:r>
        <w:rPr>
          <w:rFonts w:cs="Times New Roman"/>
          <w:color w:val="auto"/>
        </w:rPr>
        <w:t>花岗岩矿：矿石花色优美，品质上乘，国内罕见，可用于生产高</w:t>
      </w:r>
    </w:p>
    <w:p>
      <w:pPr>
        <w:spacing w:line="600" w:lineRule="exact"/>
        <w:ind w:firstLine="0" w:firstLineChars="0"/>
        <w:rPr>
          <w:rFonts w:cs="Times New Roman"/>
          <w:color w:val="auto"/>
        </w:rPr>
      </w:pPr>
      <w:r>
        <w:rPr>
          <w:rFonts w:cs="Times New Roman"/>
          <w:color w:val="auto"/>
        </w:rPr>
        <w:t>档饰面板材，尤其是内墙和地面装饰的理想材料。主要分为 4 个矿点。</w:t>
      </w:r>
    </w:p>
    <w:p>
      <w:pPr>
        <w:spacing w:line="600" w:lineRule="exact"/>
        <w:ind w:firstLine="560"/>
        <w:rPr>
          <w:rFonts w:cs="Times New Roman"/>
          <w:color w:val="auto"/>
        </w:rPr>
      </w:pPr>
      <w:r>
        <w:rPr>
          <w:rFonts w:cs="Times New Roman"/>
          <w:color w:val="auto"/>
        </w:rPr>
        <w:t>（1）八一花岗岩矿，位于绥棱县东北部，隶属于绥棱八一林场，</w:t>
      </w:r>
    </w:p>
    <w:p>
      <w:pPr>
        <w:spacing w:line="600" w:lineRule="exact"/>
        <w:ind w:firstLine="0" w:firstLineChars="0"/>
        <w:rPr>
          <w:rFonts w:cs="Times New Roman"/>
          <w:color w:val="auto"/>
        </w:rPr>
      </w:pPr>
      <w:r>
        <w:rPr>
          <w:rFonts w:cs="Times New Roman"/>
          <w:color w:val="auto"/>
        </w:rPr>
        <w:t>矿石量 120 万立方米；</w:t>
      </w:r>
    </w:p>
    <w:p>
      <w:pPr>
        <w:spacing w:line="600" w:lineRule="exact"/>
        <w:ind w:firstLine="560"/>
        <w:rPr>
          <w:rFonts w:cs="Times New Roman"/>
          <w:color w:val="auto"/>
        </w:rPr>
      </w:pPr>
      <w:r>
        <w:rPr>
          <w:rFonts w:cs="Times New Roman"/>
          <w:color w:val="auto"/>
        </w:rPr>
        <w:t>（2）建兴花岗岩矿，位于绥棱林业局建兴经营所，储量 500 万</w:t>
      </w:r>
    </w:p>
    <w:p>
      <w:pPr>
        <w:spacing w:line="600" w:lineRule="exact"/>
        <w:ind w:firstLine="0" w:firstLineChars="0"/>
        <w:rPr>
          <w:rFonts w:cs="Times New Roman"/>
          <w:color w:val="auto"/>
        </w:rPr>
      </w:pPr>
      <w:r>
        <w:rPr>
          <w:rFonts w:cs="Times New Roman"/>
          <w:color w:val="auto"/>
        </w:rPr>
        <w:t>立方米；</w:t>
      </w:r>
    </w:p>
    <w:p>
      <w:pPr>
        <w:widowControl/>
        <w:ind w:firstLine="560"/>
        <w:jc w:val="left"/>
        <w:rPr>
          <w:rFonts w:cs="Times New Roman"/>
          <w:color w:val="auto"/>
        </w:rPr>
      </w:pPr>
      <w:r>
        <w:rPr>
          <w:rFonts w:cs="Times New Roman"/>
          <w:color w:val="auto"/>
          <w:kern w:val="0"/>
          <w:lang w:bidi="ar"/>
        </w:rPr>
        <w:t>（</w:t>
      </w:r>
      <w:r>
        <w:rPr>
          <w:rFonts w:eastAsia="宋体" w:cs="Times New Roman"/>
          <w:color w:val="auto"/>
          <w:kern w:val="0"/>
          <w:lang w:bidi="ar"/>
        </w:rPr>
        <w:t>3</w:t>
      </w:r>
      <w:r>
        <w:rPr>
          <w:rFonts w:cs="Times New Roman"/>
          <w:color w:val="auto"/>
          <w:kern w:val="0"/>
          <w:lang w:bidi="ar"/>
        </w:rPr>
        <w:t xml:space="preserve">）大青观花岗岩矿，未做过地质调查，储量不详； </w:t>
      </w:r>
    </w:p>
    <w:p>
      <w:pPr>
        <w:widowControl/>
        <w:ind w:firstLine="560"/>
        <w:jc w:val="left"/>
        <w:rPr>
          <w:rFonts w:cs="Times New Roman"/>
          <w:color w:val="auto"/>
        </w:rPr>
      </w:pPr>
      <w:r>
        <w:rPr>
          <w:rFonts w:cs="Times New Roman"/>
          <w:color w:val="auto"/>
          <w:kern w:val="0"/>
          <w:lang w:bidi="ar"/>
        </w:rPr>
        <w:t>（</w:t>
      </w:r>
      <w:r>
        <w:rPr>
          <w:rFonts w:eastAsia="宋体" w:cs="Times New Roman"/>
          <w:color w:val="auto"/>
          <w:kern w:val="0"/>
          <w:lang w:bidi="ar"/>
        </w:rPr>
        <w:t>4</w:t>
      </w:r>
      <w:r>
        <w:rPr>
          <w:rFonts w:cs="Times New Roman"/>
          <w:color w:val="auto"/>
          <w:kern w:val="0"/>
          <w:lang w:bidi="ar"/>
        </w:rPr>
        <w:t xml:space="preserve">）胜利花岗岩矿，未做过地质调查，储量不详。 </w:t>
      </w:r>
    </w:p>
    <w:p>
      <w:pPr>
        <w:widowControl/>
        <w:ind w:firstLine="560"/>
        <w:jc w:val="left"/>
        <w:rPr>
          <w:rFonts w:cs="Times New Roman"/>
          <w:color w:val="auto"/>
        </w:rPr>
      </w:pPr>
      <w:r>
        <w:rPr>
          <w:rFonts w:cs="Times New Roman"/>
          <w:color w:val="auto"/>
          <w:kern w:val="0"/>
          <w:lang w:bidi="ar"/>
        </w:rPr>
        <w:t xml:space="preserve">陶粒页岩矿：绥棱县目前有两处较大的陶粒页岩矿点，一处是绥棱县后头乡前头村陶粒页岩矿，矿石储量可达 </w:t>
      </w:r>
      <w:r>
        <w:rPr>
          <w:rFonts w:eastAsia="宋体" w:cs="Times New Roman"/>
          <w:color w:val="auto"/>
          <w:kern w:val="0"/>
          <w:lang w:bidi="ar"/>
        </w:rPr>
        <w:t xml:space="preserve">500 </w:t>
      </w:r>
      <w:r>
        <w:rPr>
          <w:rFonts w:cs="Times New Roman"/>
          <w:color w:val="auto"/>
          <w:kern w:val="0"/>
          <w:lang w:bidi="ar"/>
        </w:rPr>
        <w:t xml:space="preserve">万立方米以上。 另一处是绥棱县绥中乡东林陶粒页岩矿，矿点已经做完地质详工作， 估算矿石储量在 </w:t>
      </w:r>
      <w:r>
        <w:rPr>
          <w:rFonts w:eastAsia="宋体" w:cs="Times New Roman"/>
          <w:color w:val="auto"/>
          <w:kern w:val="0"/>
          <w:lang w:bidi="ar"/>
        </w:rPr>
        <w:t xml:space="preserve">700 </w:t>
      </w:r>
      <w:r>
        <w:rPr>
          <w:rFonts w:cs="Times New Roman"/>
          <w:color w:val="auto"/>
          <w:kern w:val="0"/>
          <w:lang w:bidi="ar"/>
        </w:rPr>
        <w:t xml:space="preserve">万立方米以上。 </w:t>
      </w:r>
    </w:p>
    <w:p>
      <w:pPr>
        <w:widowControl/>
        <w:ind w:firstLine="560"/>
        <w:jc w:val="left"/>
        <w:rPr>
          <w:rFonts w:cs="Times New Roman"/>
          <w:color w:val="auto"/>
        </w:rPr>
      </w:pPr>
      <w:r>
        <w:rPr>
          <w:rFonts w:cs="Times New Roman"/>
          <w:color w:val="auto"/>
          <w:kern w:val="0"/>
          <w:lang w:bidi="ar"/>
        </w:rPr>
        <w:t xml:space="preserve">瓷石矿：位于绥棱马子良西约 </w:t>
      </w:r>
      <w:r>
        <w:rPr>
          <w:rFonts w:eastAsia="宋体" w:cs="Times New Roman"/>
          <w:color w:val="auto"/>
          <w:kern w:val="0"/>
          <w:lang w:bidi="ar"/>
        </w:rPr>
        <w:t xml:space="preserve">2 </w:t>
      </w:r>
      <w:r>
        <w:rPr>
          <w:rFonts w:cs="Times New Roman"/>
          <w:color w:val="auto"/>
          <w:kern w:val="0"/>
          <w:lang w:bidi="ar"/>
        </w:rPr>
        <w:t xml:space="preserve">公里，矿石储量约 </w:t>
      </w:r>
      <w:r>
        <w:rPr>
          <w:rFonts w:eastAsia="宋体" w:cs="Times New Roman"/>
          <w:color w:val="auto"/>
          <w:kern w:val="0"/>
          <w:lang w:bidi="ar"/>
        </w:rPr>
        <w:t xml:space="preserve">2000 </w:t>
      </w:r>
      <w:r>
        <w:rPr>
          <w:rFonts w:cs="Times New Roman"/>
          <w:color w:val="auto"/>
          <w:kern w:val="0"/>
          <w:lang w:bidi="ar"/>
        </w:rPr>
        <w:t xml:space="preserve">万吨以上，是全省最大的马子良瓷石矿矿体，矿石质优，可满足一般陶瓷和高级陶瓷对瓷石的工业要求，属于优质瓷石矿，可生产墙地砖、全瓷砖、釉面砖以及国际流行的玻化砖、西式瓦等产品。 </w:t>
      </w:r>
    </w:p>
    <w:p>
      <w:pPr>
        <w:widowControl/>
        <w:ind w:firstLine="560"/>
        <w:jc w:val="left"/>
        <w:rPr>
          <w:rFonts w:cs="Times New Roman"/>
          <w:color w:val="auto"/>
        </w:rPr>
      </w:pPr>
      <w:r>
        <w:rPr>
          <w:rFonts w:cs="Times New Roman"/>
          <w:color w:val="auto"/>
          <w:kern w:val="0"/>
          <w:lang w:bidi="ar"/>
        </w:rPr>
        <w:t xml:space="preserve">金矿：目前在我县北部发现 </w:t>
      </w:r>
      <w:r>
        <w:rPr>
          <w:rFonts w:eastAsia="宋体" w:cs="Times New Roman"/>
          <w:color w:val="auto"/>
          <w:kern w:val="0"/>
          <w:lang w:bidi="ar"/>
        </w:rPr>
        <w:t xml:space="preserve">3 </w:t>
      </w:r>
      <w:r>
        <w:rPr>
          <w:rFonts w:cs="Times New Roman"/>
          <w:color w:val="auto"/>
          <w:kern w:val="0"/>
          <w:lang w:bidi="ar"/>
        </w:rPr>
        <w:t xml:space="preserve">处矿点，即建兴岩金矿点，高岚金矿点，六棵松砂金矿点，前期做过简单的地质工作，金品位不高，储量不详。 </w:t>
      </w:r>
    </w:p>
    <w:p>
      <w:pPr>
        <w:widowControl/>
        <w:ind w:firstLine="560"/>
        <w:jc w:val="left"/>
        <w:rPr>
          <w:rFonts w:cs="Times New Roman"/>
          <w:color w:val="auto"/>
        </w:rPr>
      </w:pPr>
      <w:r>
        <w:rPr>
          <w:rFonts w:cs="Times New Roman"/>
          <w:color w:val="auto"/>
          <w:kern w:val="0"/>
          <w:lang w:bidi="ar"/>
        </w:rPr>
        <w:t xml:space="preserve">矿泉水：绥棱县矿泉水资源储量丰富，流量稳定。富含多种常量 元素和微量元素，在口感、健康、营养等方面都比较突出，特别是偏 硅酸和锶含量高于国家标准，优于一般饮用水。而且这些矿泉点涌水 量大，比较稳定，适合大规模开发。目前，已探明的矿泉水水源地有 </w:t>
      </w:r>
      <w:r>
        <w:rPr>
          <w:rFonts w:eastAsia="宋体" w:cs="Times New Roman"/>
          <w:color w:val="auto"/>
          <w:kern w:val="0"/>
          <w:lang w:bidi="ar"/>
        </w:rPr>
        <w:t xml:space="preserve">10 </w:t>
      </w:r>
      <w:r>
        <w:rPr>
          <w:rFonts w:cs="Times New Roman"/>
          <w:color w:val="auto"/>
          <w:kern w:val="0"/>
          <w:lang w:bidi="ar"/>
        </w:rPr>
        <w:t xml:space="preserve">余处，初步认定有 </w:t>
      </w:r>
      <w:r>
        <w:rPr>
          <w:rFonts w:eastAsia="宋体" w:cs="Times New Roman"/>
          <w:color w:val="auto"/>
          <w:kern w:val="0"/>
          <w:lang w:bidi="ar"/>
        </w:rPr>
        <w:t xml:space="preserve">2 </w:t>
      </w:r>
      <w:r>
        <w:rPr>
          <w:rFonts w:cs="Times New Roman"/>
          <w:color w:val="auto"/>
          <w:kern w:val="0"/>
          <w:lang w:bidi="ar"/>
        </w:rPr>
        <w:t xml:space="preserve">处属优质饮用水，完全符合开发天然优质矿 泉水的条件。 </w:t>
      </w:r>
    </w:p>
    <w:p>
      <w:pPr>
        <w:widowControl/>
        <w:ind w:firstLine="560"/>
        <w:jc w:val="left"/>
        <w:rPr>
          <w:rFonts w:cs="Times New Roman"/>
          <w:color w:val="auto"/>
          <w:kern w:val="0"/>
          <w:lang w:bidi="ar"/>
        </w:rPr>
      </w:pPr>
      <w:r>
        <w:rPr>
          <w:rFonts w:cs="Times New Roman"/>
          <w:color w:val="auto"/>
          <w:kern w:val="0"/>
          <w:lang w:bidi="ar"/>
        </w:rPr>
        <w:t xml:space="preserve">陶土矿：张家湾陶土矿位于绥棱县张家湾北东 </w:t>
      </w:r>
      <w:r>
        <w:rPr>
          <w:rFonts w:eastAsia="宋体" w:cs="Times New Roman"/>
          <w:color w:val="auto"/>
          <w:kern w:val="0"/>
          <w:lang w:bidi="ar"/>
        </w:rPr>
        <w:t xml:space="preserve">3 </w:t>
      </w:r>
      <w:r>
        <w:rPr>
          <w:rFonts w:cs="Times New Roman"/>
          <w:color w:val="auto"/>
          <w:kern w:val="0"/>
          <w:lang w:bidi="ar"/>
        </w:rPr>
        <w:t xml:space="preserve">公里左右及绥棱县城周边地区，已做完地质详查，目前是一处大型陶瓷用粘土矿床， 储量在 </w:t>
      </w:r>
      <w:r>
        <w:rPr>
          <w:rFonts w:eastAsia="宋体" w:cs="Times New Roman"/>
          <w:color w:val="auto"/>
          <w:kern w:val="0"/>
          <w:lang w:bidi="ar"/>
        </w:rPr>
        <w:t xml:space="preserve">32000 </w:t>
      </w:r>
      <w:r>
        <w:rPr>
          <w:rFonts w:cs="Times New Roman"/>
          <w:color w:val="auto"/>
          <w:kern w:val="0"/>
          <w:lang w:bidi="ar"/>
        </w:rPr>
        <w:t xml:space="preserve">万吨。 </w:t>
      </w:r>
    </w:p>
    <w:p>
      <w:pPr>
        <w:widowControl/>
        <w:ind w:firstLine="560"/>
        <w:jc w:val="left"/>
        <w:rPr>
          <w:rFonts w:cs="Times New Roman"/>
          <w:color w:val="auto"/>
          <w:kern w:val="0"/>
          <w:lang w:bidi="ar"/>
        </w:rPr>
      </w:pPr>
      <w:r>
        <w:rPr>
          <w:rFonts w:cs="Times New Roman"/>
          <w:color w:val="auto"/>
          <w:kern w:val="0"/>
          <w:lang w:bidi="ar"/>
        </w:rPr>
        <w:t>绥棱周边及张家湾已知矿石自然类型为黄色粘土、紫红色—灰色泥岩，除可用于烧制黑陶以外，还可以作为制造日用陶瓷、高档建筑装饰用陶瓷的原材料，经实验室试验绥棱陶瓷土使用不同配方比还可以制作干压道路砖、发泡陶瓷保温砖等。</w:t>
      </w:r>
    </w:p>
    <w:p>
      <w:pPr>
        <w:widowControl/>
        <w:ind w:firstLine="560"/>
        <w:jc w:val="left"/>
        <w:rPr>
          <w:rFonts w:cs="Times New Roman"/>
          <w:color w:val="auto"/>
          <w:kern w:val="0"/>
          <w:lang w:bidi="ar"/>
        </w:rPr>
      </w:pPr>
      <w:r>
        <w:rPr>
          <w:rFonts w:cs="Times New Roman"/>
          <w:color w:val="auto"/>
          <w:kern w:val="0"/>
          <w:lang w:bidi="ar"/>
        </w:rPr>
        <w:t>富硒土壤：根据绥棱县的富硒土壤调查成果显示，可供开发的富硒土地约为 261 平方公里，主要集中在绥棱县城东北部到克音河乡之间的地域，还有南部上集镇等处。</w:t>
      </w:r>
    </w:p>
    <w:p>
      <w:pPr>
        <w:widowControl/>
        <w:ind w:firstLine="560"/>
        <w:jc w:val="left"/>
        <w:rPr>
          <w:rFonts w:cs="Times New Roman"/>
          <w:color w:val="auto"/>
          <w:kern w:val="0"/>
          <w:lang w:bidi="ar"/>
        </w:rPr>
      </w:pPr>
      <w:r>
        <w:rPr>
          <w:rFonts w:cs="Times New Roman"/>
          <w:color w:val="auto"/>
          <w:kern w:val="0"/>
          <w:lang w:bidi="ar"/>
        </w:rPr>
        <w:t>玄武岩矿：矿区位于绥棱县长山乡阁山村，地质储量 6400 万立方米，可生产高等级公路碎石等产品，由于该矿床临近阁山水库，2019</w:t>
      </w:r>
    </w:p>
    <w:p>
      <w:pPr>
        <w:widowControl/>
        <w:ind w:firstLine="0" w:firstLineChars="0"/>
        <w:jc w:val="left"/>
        <w:rPr>
          <w:rFonts w:cs="Times New Roman"/>
          <w:color w:val="auto"/>
          <w:kern w:val="0"/>
          <w:lang w:bidi="ar"/>
        </w:rPr>
      </w:pPr>
      <w:r>
        <w:rPr>
          <w:rFonts w:cs="Times New Roman"/>
          <w:color w:val="auto"/>
          <w:kern w:val="0"/>
          <w:lang w:bidi="ar"/>
        </w:rPr>
        <w:t>年编制《绥棱县砂石土资源开发利用专项规划（2019-2025 年）》中将该处矿床列为了禁止开采区。</w:t>
      </w:r>
    </w:p>
    <w:p>
      <w:pPr>
        <w:widowControl/>
        <w:ind w:firstLine="560"/>
        <w:jc w:val="left"/>
        <w:rPr>
          <w:rFonts w:cs="Times New Roman"/>
          <w:color w:val="auto"/>
          <w:kern w:val="0"/>
          <w:lang w:bidi="ar"/>
        </w:rPr>
      </w:pPr>
      <w:r>
        <w:rPr>
          <w:rFonts w:cs="Times New Roman"/>
          <w:color w:val="auto"/>
          <w:kern w:val="0"/>
          <w:lang w:bidi="ar"/>
        </w:rPr>
        <w:t>煤矿：分布于绥棱县宝山、建兴等地区，储量较小，开采规模不符合煤矿开采政策。</w:t>
      </w:r>
    </w:p>
    <w:p>
      <w:pPr>
        <w:widowControl/>
        <w:ind w:firstLine="560"/>
        <w:jc w:val="left"/>
        <w:rPr>
          <w:rFonts w:cs="Times New Roman"/>
          <w:color w:val="auto"/>
          <w:kern w:val="0"/>
          <w:lang w:bidi="ar"/>
        </w:rPr>
      </w:pPr>
      <w:r>
        <w:rPr>
          <w:rFonts w:cs="Times New Roman"/>
          <w:color w:val="auto"/>
          <w:kern w:val="0"/>
          <w:lang w:bidi="ar"/>
        </w:rPr>
        <w:t>油页岩矿：主要分布于绥棱县建兴南北方向，储量不详。</w:t>
      </w:r>
    </w:p>
    <w:p>
      <w:pPr>
        <w:widowControl/>
        <w:ind w:firstLine="560"/>
        <w:jc w:val="left"/>
        <w:rPr>
          <w:rFonts w:cs="Times New Roman"/>
          <w:color w:val="auto"/>
          <w:kern w:val="0"/>
          <w:lang w:bidi="ar"/>
        </w:rPr>
      </w:pPr>
      <w:r>
        <w:rPr>
          <w:rFonts w:cs="Times New Roman"/>
          <w:color w:val="auto"/>
          <w:kern w:val="0"/>
          <w:lang w:bidi="ar"/>
        </w:rPr>
        <w:t>铀矿：分布于绥棱县宝山山区，矿石品位高，属于地浸砂岩型铀矿，由于铀矿属于国家战略资源，我们无法掌握有关数据。</w:t>
      </w:r>
    </w:p>
    <w:p>
      <w:pPr>
        <w:widowControl/>
        <w:ind w:firstLine="560"/>
        <w:jc w:val="left"/>
        <w:rPr>
          <w:rFonts w:cs="Times New Roman"/>
          <w:color w:val="auto"/>
          <w:kern w:val="0"/>
          <w:lang w:bidi="ar"/>
        </w:rPr>
      </w:pPr>
      <w:r>
        <w:rPr>
          <w:rFonts w:cs="Times New Roman"/>
          <w:color w:val="auto"/>
          <w:kern w:val="0"/>
          <w:lang w:bidi="ar"/>
        </w:rPr>
        <w:t>砂石矿：主要分布于诺敏河流域，地理位置优越，易开采，交通方便，各种粒级砂均有分布，砂石矿质量好，储量大。</w:t>
      </w:r>
    </w:p>
    <w:p>
      <w:pPr>
        <w:widowControl/>
        <w:ind w:firstLine="560"/>
        <w:jc w:val="left"/>
        <w:rPr>
          <w:rFonts w:cs="Times New Roman"/>
          <w:color w:val="auto"/>
          <w:kern w:val="0"/>
          <w:lang w:bidi="ar"/>
        </w:rPr>
      </w:pPr>
      <w:r>
        <w:rPr>
          <w:rFonts w:cs="Times New Roman"/>
          <w:color w:val="auto"/>
          <w:kern w:val="0"/>
          <w:lang w:bidi="ar"/>
        </w:rPr>
        <w:t>钼矿：位于绥棱县建兴经营所西，相关地勘单位正在做地质普查，该处有望成为一处大型钼矿。</w:t>
      </w:r>
    </w:p>
    <w:p>
      <w:pPr>
        <w:pStyle w:val="3"/>
        <w:ind w:firstLine="0" w:firstLineChars="0"/>
        <w:rPr>
          <w:rFonts w:ascii="Times New Roman" w:hAnsi="Times New Roman" w:eastAsia="仿宋" w:cs="Times New Roman"/>
          <w:color w:val="auto"/>
        </w:rPr>
      </w:pPr>
      <w:bookmarkStart w:id="25" w:name="_Toc32691"/>
      <w:r>
        <w:rPr>
          <w:rFonts w:ascii="Times New Roman" w:hAnsi="Times New Roman" w:eastAsia="仿宋" w:cs="Times New Roman"/>
          <w:color w:val="auto"/>
        </w:rPr>
        <w:t>2.2社会经济状况</w:t>
      </w:r>
      <w:bookmarkEnd w:id="25"/>
    </w:p>
    <w:p>
      <w:pPr>
        <w:widowControl/>
        <w:ind w:firstLine="560"/>
        <w:jc w:val="left"/>
        <w:rPr>
          <w:rFonts w:hint="default" w:eastAsia="仿宋" w:cs="Times New Roman"/>
          <w:color w:val="auto"/>
          <w:kern w:val="0"/>
          <w:lang w:val="en-US" w:eastAsia="zh-CN" w:bidi="ar"/>
        </w:rPr>
      </w:pPr>
      <w:r>
        <w:rPr>
          <w:rFonts w:hint="eastAsia" w:cs="Times New Roman"/>
          <w:color w:val="auto"/>
          <w:kern w:val="0"/>
          <w:lang w:eastAsia="zh-CN" w:bidi="ar"/>
        </w:rPr>
        <w:t>（</w:t>
      </w:r>
      <w:r>
        <w:rPr>
          <w:rFonts w:hint="eastAsia" w:cs="Times New Roman"/>
          <w:color w:val="auto"/>
          <w:kern w:val="0"/>
          <w:lang w:val="en-US" w:eastAsia="zh-CN" w:bidi="ar"/>
        </w:rPr>
        <w:t>1</w:t>
      </w:r>
      <w:r>
        <w:rPr>
          <w:rFonts w:hint="eastAsia" w:cs="Times New Roman"/>
          <w:color w:val="auto"/>
          <w:kern w:val="0"/>
          <w:lang w:eastAsia="zh-CN" w:bidi="ar"/>
        </w:rPr>
        <w:t>）</w:t>
      </w:r>
      <w:r>
        <w:rPr>
          <w:rFonts w:hint="eastAsia" w:cs="Times New Roman"/>
          <w:color w:val="auto"/>
          <w:kern w:val="0"/>
          <w:lang w:val="en-US" w:eastAsia="zh-CN" w:bidi="ar"/>
        </w:rPr>
        <w:t>人口分布</w:t>
      </w:r>
    </w:p>
    <w:p>
      <w:pPr>
        <w:widowControl/>
        <w:ind w:firstLine="560"/>
        <w:jc w:val="left"/>
        <w:rPr>
          <w:rFonts w:cs="Times New Roman"/>
          <w:color w:val="auto"/>
          <w:kern w:val="0"/>
          <w:lang w:bidi="ar"/>
        </w:rPr>
      </w:pPr>
      <w:r>
        <w:rPr>
          <w:rFonts w:hint="eastAsia" w:cs="Times New Roman"/>
          <w:color w:val="auto"/>
          <w:kern w:val="0"/>
          <w:lang w:bidi="ar"/>
        </w:rPr>
        <w:t>截至2021年末，绥棱县常住人口206031人。户籍人口总数为284450人。人口出生率为0.26%，死亡率为0.66%。其中，城镇人口107776人，乡村人口176674人。0~17岁人口占全县总人口的比重为11.4%，60岁及以上人口占全县总人口的比重为24.3%。境内有汉、朝、满、回、蒙、苗、壮、鄂伦春、纳西、达斡尔、锡伯、侗等12个民族。</w:t>
      </w:r>
    </w:p>
    <w:p>
      <w:pPr>
        <w:widowControl/>
        <w:ind w:firstLine="560"/>
        <w:jc w:val="left"/>
        <w:rPr>
          <w:rFonts w:hint="default" w:eastAsia="仿宋" w:cs="Times New Roman"/>
          <w:color w:val="auto"/>
          <w:kern w:val="0"/>
          <w:lang w:val="en-US" w:eastAsia="zh-CN" w:bidi="ar"/>
        </w:rPr>
      </w:pPr>
      <w:r>
        <w:rPr>
          <w:rFonts w:hint="eastAsia" w:cs="Times New Roman"/>
          <w:color w:val="auto"/>
          <w:kern w:val="0"/>
          <w:lang w:eastAsia="zh-CN" w:bidi="ar"/>
        </w:rPr>
        <w:t>（</w:t>
      </w:r>
      <w:r>
        <w:rPr>
          <w:rFonts w:hint="eastAsia" w:cs="Times New Roman"/>
          <w:color w:val="auto"/>
          <w:kern w:val="0"/>
          <w:lang w:val="en-US" w:eastAsia="zh-CN" w:bidi="ar"/>
        </w:rPr>
        <w:t>2</w:t>
      </w:r>
      <w:r>
        <w:rPr>
          <w:rFonts w:hint="eastAsia" w:cs="Times New Roman"/>
          <w:color w:val="auto"/>
          <w:kern w:val="0"/>
          <w:lang w:eastAsia="zh-CN" w:bidi="ar"/>
        </w:rPr>
        <w:t>）</w:t>
      </w:r>
      <w:r>
        <w:rPr>
          <w:rFonts w:hint="eastAsia" w:cs="Times New Roman"/>
          <w:color w:val="auto"/>
          <w:kern w:val="0"/>
          <w:lang w:val="en-US" w:eastAsia="zh-CN" w:bidi="ar"/>
        </w:rPr>
        <w:t>第一产业</w:t>
      </w:r>
    </w:p>
    <w:p>
      <w:pPr>
        <w:widowControl/>
        <w:ind w:firstLine="560"/>
        <w:jc w:val="left"/>
        <w:rPr>
          <w:rFonts w:cs="Times New Roman"/>
          <w:color w:val="auto"/>
          <w:kern w:val="0"/>
          <w:lang w:bidi="ar"/>
        </w:rPr>
      </w:pPr>
      <w:r>
        <w:rPr>
          <w:rFonts w:cs="Times New Roman"/>
          <w:color w:val="auto"/>
          <w:kern w:val="0"/>
          <w:lang w:bidi="ar"/>
        </w:rPr>
        <w:t>绥棱是全国粮食生产先进县、全国绿色生态农业先进县、全国现</w:t>
      </w:r>
    </w:p>
    <w:p>
      <w:pPr>
        <w:widowControl/>
        <w:ind w:firstLine="0" w:firstLineChars="0"/>
        <w:jc w:val="left"/>
        <w:rPr>
          <w:rFonts w:cs="Times New Roman"/>
          <w:color w:val="auto"/>
          <w:kern w:val="0"/>
          <w:lang w:bidi="ar"/>
        </w:rPr>
      </w:pPr>
      <w:r>
        <w:rPr>
          <w:rFonts w:cs="Times New Roman"/>
          <w:color w:val="auto"/>
          <w:kern w:val="0"/>
          <w:lang w:bidi="ar"/>
        </w:rPr>
        <w:t>代农业示范区、中国优质大豆之乡、中国寒地黑土油豆角之乡、全国</w:t>
      </w:r>
    </w:p>
    <w:p>
      <w:pPr>
        <w:widowControl/>
        <w:ind w:firstLine="0" w:firstLineChars="0"/>
        <w:jc w:val="left"/>
        <w:rPr>
          <w:rFonts w:cs="Times New Roman"/>
          <w:color w:val="auto"/>
          <w:kern w:val="0"/>
          <w:lang w:bidi="ar"/>
        </w:rPr>
      </w:pPr>
      <w:r>
        <w:rPr>
          <w:rFonts w:cs="Times New Roman"/>
          <w:color w:val="auto"/>
          <w:kern w:val="0"/>
          <w:lang w:bidi="ar"/>
        </w:rPr>
        <w:t>农村劳动力转移就业示范县；是国家级园林县城、国家级卫生县城、中国最美休闲度假旅游名县、中国美丽乡村建设示范县；是节约集约</w:t>
      </w:r>
    </w:p>
    <w:p>
      <w:pPr>
        <w:widowControl/>
        <w:ind w:firstLine="0" w:firstLineChars="0"/>
        <w:jc w:val="left"/>
        <w:rPr>
          <w:rFonts w:cs="Times New Roman"/>
          <w:color w:val="auto"/>
          <w:kern w:val="0"/>
          <w:lang w:bidi="ar"/>
        </w:rPr>
      </w:pPr>
      <w:r>
        <w:rPr>
          <w:rFonts w:cs="Times New Roman"/>
          <w:color w:val="auto"/>
          <w:kern w:val="0"/>
          <w:lang w:bidi="ar"/>
        </w:rPr>
        <w:t>模范县、全国文化先进县、中国民间艺术文化之乡、中国土陶工艺品</w:t>
      </w:r>
    </w:p>
    <w:p>
      <w:pPr>
        <w:widowControl/>
        <w:ind w:firstLine="0" w:firstLineChars="0"/>
        <w:jc w:val="left"/>
        <w:rPr>
          <w:rFonts w:cs="Times New Roman"/>
          <w:color w:val="auto"/>
          <w:kern w:val="0"/>
          <w:lang w:bidi="ar"/>
        </w:rPr>
      </w:pPr>
      <w:r>
        <w:rPr>
          <w:rFonts w:cs="Times New Roman"/>
          <w:color w:val="auto"/>
          <w:kern w:val="0"/>
          <w:lang w:bidi="ar"/>
        </w:rPr>
        <w:t>之乡、中国草柳编工艺品之乡；绥棱是全国法治县市区创建活动先进</w:t>
      </w:r>
    </w:p>
    <w:p>
      <w:pPr>
        <w:widowControl/>
        <w:ind w:firstLine="0" w:firstLineChars="0"/>
        <w:jc w:val="left"/>
        <w:rPr>
          <w:rFonts w:cs="Times New Roman"/>
          <w:color w:val="auto"/>
          <w:kern w:val="0"/>
          <w:lang w:bidi="ar"/>
        </w:rPr>
      </w:pPr>
      <w:r>
        <w:rPr>
          <w:rFonts w:cs="Times New Roman"/>
          <w:color w:val="auto"/>
          <w:kern w:val="0"/>
          <w:lang w:bidi="ar"/>
        </w:rPr>
        <w:t>单位，国民经济平稳较快增长。</w:t>
      </w:r>
    </w:p>
    <w:p>
      <w:pPr>
        <w:widowControl/>
        <w:ind w:firstLine="560"/>
        <w:jc w:val="left"/>
        <w:rPr>
          <w:rFonts w:cs="Times New Roman"/>
          <w:color w:val="auto"/>
          <w:kern w:val="0"/>
          <w:lang w:bidi="ar"/>
        </w:rPr>
      </w:pPr>
      <w:r>
        <w:rPr>
          <w:rFonts w:cs="Times New Roman"/>
          <w:color w:val="auto"/>
          <w:kern w:val="0"/>
          <w:lang w:bidi="ar"/>
        </w:rPr>
        <w:t>2021年全县实现地区生产总值（GDP）55亿元，按可比价格计算，比上年增长6.7%。其中，第一产业增加值33.1亿元，按可比价格计算，增长7.1%；第二产业2.7亿元，按可比价格计算，增长4.1%；第三产业增加值19.2亿元，增长6.2%。三次产业结构为60.1：5.0：34.9。</w:t>
      </w:r>
    </w:p>
    <w:p>
      <w:pPr>
        <w:widowControl/>
        <w:ind w:firstLine="560"/>
        <w:jc w:val="left"/>
        <w:rPr>
          <w:rFonts w:cs="Times New Roman"/>
          <w:color w:val="auto"/>
          <w:kern w:val="0"/>
          <w:lang w:bidi="ar"/>
        </w:rPr>
      </w:pPr>
      <w:r>
        <w:rPr>
          <w:rFonts w:cs="Times New Roman"/>
          <w:color w:val="auto"/>
          <w:kern w:val="0"/>
          <w:lang w:bidi="ar"/>
        </w:rPr>
        <w:t>全县实现农林牧渔业总产值55.6亿元，比上年增长7.27%。其中，种植业产值46.7亿元，增长6.12%；林业产值1.2亿元，增长0.89%；畜牧业产值4.3亿元，增长16.43%；渔业产值2.5亿元，增长12.0%；农林牧渔专业及辅助性活动产值0.95亿元，增长22.43%。</w:t>
      </w:r>
    </w:p>
    <w:p>
      <w:pPr>
        <w:widowControl/>
        <w:ind w:firstLine="560"/>
        <w:jc w:val="left"/>
        <w:rPr>
          <w:rFonts w:cs="Times New Roman"/>
          <w:color w:val="auto"/>
          <w:kern w:val="0"/>
          <w:lang w:bidi="ar"/>
        </w:rPr>
      </w:pPr>
      <w:r>
        <w:rPr>
          <w:rFonts w:cs="Times New Roman"/>
          <w:color w:val="auto"/>
          <w:kern w:val="0"/>
          <w:lang w:bidi="ar"/>
        </w:rPr>
        <w:t>全县粮食产量78.6万吨。其中，水稻、玉米和大豆分别为36.1万吨、30.4万吨和12万吨。全县粮食播种面积14.64万hm</w:t>
      </w:r>
      <w:r>
        <w:rPr>
          <w:rFonts w:cs="Times New Roman"/>
          <w:color w:val="auto"/>
          <w:kern w:val="0"/>
          <w:vertAlign w:val="superscript"/>
          <w:lang w:bidi="ar"/>
        </w:rPr>
        <w:t>2</w:t>
      </w:r>
      <w:r>
        <w:rPr>
          <w:rFonts w:cs="Times New Roman"/>
          <w:color w:val="auto"/>
          <w:kern w:val="0"/>
          <w:lang w:bidi="ar"/>
        </w:rPr>
        <w:t>，其中，水稻、玉米和大豆分别为4.6万hm</w:t>
      </w:r>
      <w:r>
        <w:rPr>
          <w:rFonts w:cs="Times New Roman"/>
          <w:color w:val="auto"/>
          <w:kern w:val="0"/>
          <w:vertAlign w:val="superscript"/>
          <w:lang w:bidi="ar"/>
        </w:rPr>
        <w:t>2</w:t>
      </w:r>
      <w:r>
        <w:rPr>
          <w:rFonts w:cs="Times New Roman"/>
          <w:color w:val="auto"/>
          <w:kern w:val="0"/>
          <w:lang w:bidi="ar"/>
        </w:rPr>
        <w:t>、3.87万hm</w:t>
      </w:r>
      <w:r>
        <w:rPr>
          <w:rFonts w:cs="Times New Roman"/>
          <w:color w:val="auto"/>
          <w:kern w:val="0"/>
          <w:vertAlign w:val="superscript"/>
          <w:lang w:bidi="ar"/>
        </w:rPr>
        <w:t>2</w:t>
      </w:r>
      <w:r>
        <w:rPr>
          <w:rFonts w:cs="Times New Roman"/>
          <w:color w:val="auto"/>
          <w:kern w:val="0"/>
          <w:lang w:bidi="ar"/>
        </w:rPr>
        <w:t>和36.2万hm</w:t>
      </w:r>
      <w:r>
        <w:rPr>
          <w:rFonts w:cs="Times New Roman"/>
          <w:color w:val="auto"/>
          <w:kern w:val="0"/>
          <w:vertAlign w:val="superscript"/>
          <w:lang w:bidi="ar"/>
        </w:rPr>
        <w:t>2</w:t>
      </w:r>
      <w:r>
        <w:rPr>
          <w:rFonts w:cs="Times New Roman"/>
          <w:color w:val="auto"/>
          <w:kern w:val="0"/>
          <w:lang w:bidi="ar"/>
        </w:rPr>
        <w:t>。</w:t>
      </w:r>
    </w:p>
    <w:p>
      <w:pPr>
        <w:widowControl/>
        <w:ind w:firstLine="560"/>
        <w:jc w:val="left"/>
        <w:rPr>
          <w:rFonts w:cs="Times New Roman"/>
          <w:color w:val="auto"/>
          <w:kern w:val="0"/>
          <w:lang w:bidi="ar"/>
        </w:rPr>
      </w:pPr>
      <w:r>
        <w:rPr>
          <w:rFonts w:cs="Times New Roman"/>
          <w:color w:val="auto"/>
          <w:kern w:val="0"/>
          <w:lang w:bidi="ar"/>
        </w:rPr>
        <w:t>全县生猪存栏和出栏量分别为3.96万头和22.51万头，分别比上年下降39.9%和增长158.6%；牛和羊出栏量分别为1.56万头和1.94万只，分别增长60.4%和8.96%。猪肉产量2.06万吨，增长249.1%；牛肉产量0.27万吨，增长68.7%；羊肉产量0.03万吨，增长10.3%；禽肉产量0.18万吨，增长70.6%。禽蛋产量1.22万吨，增长78.4%；生牛奶产量0.21万吨，增长73.4%。</w:t>
      </w:r>
    </w:p>
    <w:p>
      <w:pPr>
        <w:widowControl/>
        <w:ind w:firstLine="560"/>
        <w:jc w:val="left"/>
        <w:rPr>
          <w:rFonts w:cs="Times New Roman"/>
          <w:color w:val="auto"/>
          <w:kern w:val="0"/>
          <w:lang w:bidi="ar"/>
        </w:rPr>
      </w:pPr>
      <w:r>
        <w:rPr>
          <w:rFonts w:cs="Times New Roman"/>
          <w:color w:val="auto"/>
          <w:kern w:val="0"/>
          <w:lang w:bidi="ar"/>
        </w:rPr>
        <w:t>全县经济作物播种面积5630.92hm</w:t>
      </w:r>
      <w:r>
        <w:rPr>
          <w:rFonts w:cs="Times New Roman"/>
          <w:color w:val="auto"/>
          <w:kern w:val="0"/>
          <w:vertAlign w:val="superscript"/>
          <w:lang w:bidi="ar"/>
        </w:rPr>
        <w:t>2</w:t>
      </w:r>
      <w:r>
        <w:rPr>
          <w:rFonts w:cs="Times New Roman"/>
          <w:color w:val="auto"/>
          <w:kern w:val="0"/>
          <w:lang w:bidi="ar"/>
        </w:rPr>
        <w:t>，比上年增长14.4%。其中，蔬菜及食用菌播种面积3698.55hm</w:t>
      </w:r>
      <w:r>
        <w:rPr>
          <w:rFonts w:cs="Times New Roman"/>
          <w:color w:val="auto"/>
          <w:kern w:val="0"/>
          <w:vertAlign w:val="superscript"/>
          <w:lang w:bidi="ar"/>
        </w:rPr>
        <w:t>2</w:t>
      </w:r>
      <w:r>
        <w:rPr>
          <w:rFonts w:cs="Times New Roman"/>
          <w:color w:val="auto"/>
          <w:kern w:val="0"/>
          <w:lang w:bidi="ar"/>
        </w:rPr>
        <w:t>，增长8.3%；瓜果类播种面积867.17hm</w:t>
      </w:r>
      <w:r>
        <w:rPr>
          <w:rFonts w:cs="Times New Roman"/>
          <w:color w:val="auto"/>
          <w:kern w:val="0"/>
          <w:vertAlign w:val="superscript"/>
          <w:lang w:bidi="ar"/>
        </w:rPr>
        <w:t>2</w:t>
      </w:r>
      <w:r>
        <w:rPr>
          <w:rFonts w:cs="Times New Roman"/>
          <w:color w:val="auto"/>
          <w:kern w:val="0"/>
          <w:lang w:bidi="ar"/>
        </w:rPr>
        <w:t>，增长7.1%；中草药材播种面积865.2hm</w:t>
      </w:r>
      <w:r>
        <w:rPr>
          <w:rFonts w:cs="Times New Roman"/>
          <w:color w:val="auto"/>
          <w:kern w:val="0"/>
          <w:vertAlign w:val="superscript"/>
          <w:lang w:bidi="ar"/>
        </w:rPr>
        <w:t>2</w:t>
      </w:r>
      <w:r>
        <w:rPr>
          <w:rFonts w:cs="Times New Roman"/>
          <w:color w:val="auto"/>
          <w:kern w:val="0"/>
          <w:lang w:bidi="ar"/>
        </w:rPr>
        <w:t>，增长68.6%。蔬菜及食用菌产量30.5万吨，增长32.4%；瓜果类产量3.76万吨，增长103.0%。</w:t>
      </w:r>
    </w:p>
    <w:p>
      <w:pPr>
        <w:widowControl/>
        <w:ind w:firstLine="560"/>
        <w:jc w:val="left"/>
        <w:rPr>
          <w:rFonts w:hint="default" w:eastAsia="仿宋" w:cs="Times New Roman"/>
          <w:color w:val="auto"/>
          <w:kern w:val="0"/>
          <w:lang w:val="en-US" w:eastAsia="zh-CN" w:bidi="ar"/>
        </w:rPr>
      </w:pPr>
      <w:r>
        <w:rPr>
          <w:rFonts w:hint="eastAsia" w:cs="Times New Roman"/>
          <w:color w:val="auto"/>
          <w:kern w:val="0"/>
          <w:lang w:eastAsia="zh-CN" w:bidi="ar"/>
        </w:rPr>
        <w:t>（</w:t>
      </w:r>
      <w:r>
        <w:rPr>
          <w:rFonts w:hint="eastAsia" w:cs="Times New Roman"/>
          <w:color w:val="auto"/>
          <w:kern w:val="0"/>
          <w:lang w:val="en-US" w:eastAsia="zh-CN" w:bidi="ar"/>
        </w:rPr>
        <w:t>3</w:t>
      </w:r>
      <w:r>
        <w:rPr>
          <w:rFonts w:hint="eastAsia" w:cs="Times New Roman"/>
          <w:color w:val="auto"/>
          <w:kern w:val="0"/>
          <w:lang w:eastAsia="zh-CN" w:bidi="ar"/>
        </w:rPr>
        <w:t>）</w:t>
      </w:r>
      <w:r>
        <w:rPr>
          <w:rFonts w:hint="eastAsia" w:cs="Times New Roman"/>
          <w:color w:val="auto"/>
          <w:kern w:val="0"/>
          <w:lang w:val="en-US" w:eastAsia="zh-CN" w:bidi="ar"/>
        </w:rPr>
        <w:t>第二产业</w:t>
      </w:r>
    </w:p>
    <w:p>
      <w:pPr>
        <w:widowControl/>
        <w:ind w:firstLine="560"/>
        <w:jc w:val="both"/>
        <w:rPr>
          <w:rFonts w:hint="eastAsia" w:cs="Times New Roman"/>
          <w:color w:val="auto"/>
          <w:kern w:val="0"/>
          <w:lang w:bidi="ar"/>
        </w:rPr>
      </w:pPr>
      <w:r>
        <w:rPr>
          <w:rFonts w:hint="eastAsia" w:cs="Times New Roman"/>
          <w:color w:val="auto"/>
          <w:kern w:val="0"/>
          <w:lang w:bidi="ar"/>
        </w:rPr>
        <w:t>2021年，绥棱县规模以上工业企业共17户，比上年同期增长21.4%；总产值8.7亿元，比上年同期增长15.5%，工业增加值比上年同期增长6.8%。从行业看，有3个行业工业增加值增速保持增长，木材加工和木、竹、藤、棕、草制品业增长4.1%，非金属矿物制品业增长52.9%，电力、热力生产和供应业增长26.8%。从产品产量看，2种工业主要产品中产品产量同比全部增长，大米6.7万吨，增长25.4%；水泥32.2万吨，增长35.5%。</w:t>
      </w:r>
    </w:p>
    <w:p>
      <w:pPr>
        <w:widowControl/>
        <w:ind w:firstLine="560"/>
        <w:jc w:val="left"/>
        <w:rPr>
          <w:rFonts w:cs="Times New Roman"/>
          <w:color w:val="auto"/>
          <w:kern w:val="0"/>
          <w:lang w:bidi="ar"/>
        </w:rPr>
      </w:pPr>
      <w:r>
        <w:rPr>
          <w:rFonts w:hint="eastAsia" w:cs="Times New Roman"/>
          <w:color w:val="auto"/>
          <w:kern w:val="0"/>
          <w:lang w:bidi="ar"/>
        </w:rPr>
        <w:t>2021年，绥棱县规模以上工业企业营业收入7.9亿元，比上年同期增长8.9%；营业成本7.5亿元，比上年同期增长7.3%；利润总额0.2亿元，比上年同期下降18.7%；资产总计7.1亿元，比上年同期增长1.5%；规模以上工业企业每百元营业收入中的成本为94.4元，比上年减少1.4元。</w:t>
      </w:r>
    </w:p>
    <w:p>
      <w:pPr>
        <w:widowControl/>
        <w:ind w:firstLine="560"/>
        <w:jc w:val="left"/>
        <w:rPr>
          <w:rFonts w:hint="eastAsia" w:cs="Times New Roman"/>
          <w:color w:val="auto"/>
          <w:kern w:val="0"/>
          <w:lang w:eastAsia="zh-CN" w:bidi="ar"/>
        </w:rPr>
      </w:pPr>
      <w:r>
        <w:rPr>
          <w:rFonts w:hint="eastAsia" w:cs="Times New Roman"/>
          <w:color w:val="auto"/>
          <w:kern w:val="0"/>
          <w:lang w:eastAsia="zh-CN" w:bidi="ar"/>
        </w:rPr>
        <w:t>2021年，绥棱县具有资质等级的总承包和专业承包建筑业企业共11个，建筑业总产值4.25亿元，比上年同期完成建筑业总产值增长0.9亿元，增长26.6%，主营业务收入5.12亿元，增长76%。</w:t>
      </w:r>
    </w:p>
    <w:p>
      <w:pPr>
        <w:widowControl/>
        <w:ind w:firstLine="560"/>
        <w:jc w:val="left"/>
        <w:rPr>
          <w:rFonts w:hint="eastAsia" w:cs="Times New Roman"/>
          <w:color w:val="auto"/>
          <w:kern w:val="0"/>
          <w:lang w:val="en-US" w:eastAsia="zh-CN" w:bidi="ar"/>
        </w:rPr>
      </w:pPr>
      <w:r>
        <w:rPr>
          <w:rFonts w:hint="eastAsia" w:cs="Times New Roman"/>
          <w:color w:val="auto"/>
          <w:kern w:val="0"/>
          <w:lang w:eastAsia="zh-CN" w:bidi="ar"/>
        </w:rPr>
        <w:t>（</w:t>
      </w:r>
      <w:r>
        <w:rPr>
          <w:rFonts w:hint="eastAsia" w:cs="Times New Roman"/>
          <w:color w:val="auto"/>
          <w:kern w:val="0"/>
          <w:lang w:val="en-US" w:eastAsia="zh-CN" w:bidi="ar"/>
        </w:rPr>
        <w:t>4</w:t>
      </w:r>
      <w:r>
        <w:rPr>
          <w:rFonts w:hint="eastAsia" w:cs="Times New Roman"/>
          <w:color w:val="auto"/>
          <w:kern w:val="0"/>
          <w:lang w:eastAsia="zh-CN" w:bidi="ar"/>
        </w:rPr>
        <w:t>）</w:t>
      </w:r>
      <w:r>
        <w:rPr>
          <w:rFonts w:hint="eastAsia" w:cs="Times New Roman"/>
          <w:color w:val="auto"/>
          <w:kern w:val="0"/>
          <w:lang w:val="en-US" w:eastAsia="zh-CN" w:bidi="ar"/>
        </w:rPr>
        <w:t>第三产业</w:t>
      </w:r>
    </w:p>
    <w:p>
      <w:pPr>
        <w:widowControl/>
        <w:ind w:firstLine="560"/>
        <w:jc w:val="left"/>
        <w:rPr>
          <w:rFonts w:hint="default" w:cs="Times New Roman"/>
          <w:color w:val="auto"/>
          <w:kern w:val="0"/>
          <w:lang w:val="en-US" w:eastAsia="zh-CN" w:bidi="ar"/>
        </w:rPr>
      </w:pPr>
      <w:r>
        <w:rPr>
          <w:rFonts w:hint="default" w:cs="Times New Roman"/>
          <w:color w:val="auto"/>
          <w:kern w:val="0"/>
          <w:lang w:val="en-US" w:eastAsia="zh-CN" w:bidi="ar"/>
        </w:rPr>
        <w:t>2021年，绥棱县社会消费品零售总额15.5亿元，增长9.5%。按消费类型统计，商品零售额10.1亿元，增长9.4%。商品批发额3.1亿元，增长9.4%。住宿和餐饮额收入2.3亿元，增长9.5%。</w:t>
      </w:r>
    </w:p>
    <w:p>
      <w:pPr>
        <w:widowControl/>
        <w:ind w:firstLine="560"/>
        <w:jc w:val="left"/>
        <w:rPr>
          <w:rFonts w:hint="default" w:cs="Times New Roman"/>
          <w:color w:val="auto"/>
          <w:kern w:val="0"/>
          <w:lang w:val="en-US" w:eastAsia="zh-CN" w:bidi="ar"/>
        </w:rPr>
      </w:pPr>
      <w:r>
        <w:rPr>
          <w:rFonts w:hint="default" w:cs="Times New Roman"/>
          <w:color w:val="auto"/>
          <w:kern w:val="0"/>
          <w:lang w:val="en-US" w:eastAsia="zh-CN" w:bidi="ar"/>
        </w:rPr>
        <w:t>2021年，绥棱县限额以上批发零售和住宿餐饮单位8户，其中：企业7家，大个体1家。限额以上单位零售额0.96亿元，降低4%。批发额1.8亿元，增长50%。住宿和餐饮额637万元，增长97%。</w:t>
      </w:r>
    </w:p>
    <w:p>
      <w:pPr>
        <w:widowControl/>
        <w:ind w:firstLine="560"/>
        <w:jc w:val="left"/>
        <w:rPr>
          <w:rFonts w:hint="eastAsia" w:eastAsia="仿宋" w:cs="Times New Roman"/>
          <w:color w:val="auto"/>
          <w:kern w:val="0"/>
          <w:lang w:eastAsia="zh-CN" w:bidi="ar"/>
        </w:rPr>
      </w:pPr>
      <w:r>
        <w:rPr>
          <w:rFonts w:hint="eastAsia" w:cs="Times New Roman"/>
          <w:color w:val="auto"/>
          <w:kern w:val="0"/>
          <w:lang w:bidi="ar"/>
        </w:rPr>
        <w:t>2021年，绥棱县新签约入库项目10个，同比上年增长66.67%，其中新签约亿元及以上利用内资项目4个，新签千万元及以上利用内资项目6个；招商引资到位资金9.36亿元，同比上年增长38.14%。其中，第一产业0.35亿元；第二产业9.01亿元。进出口总额21万元人民币</w:t>
      </w:r>
      <w:r>
        <w:rPr>
          <w:rFonts w:hint="eastAsia" w:cs="Times New Roman"/>
          <w:color w:val="auto"/>
          <w:kern w:val="0"/>
          <w:lang w:eastAsia="zh-CN" w:bidi="ar"/>
        </w:rPr>
        <w:t>。</w:t>
      </w:r>
    </w:p>
    <w:p>
      <w:pPr>
        <w:widowControl/>
        <w:ind w:firstLine="560"/>
        <w:jc w:val="left"/>
        <w:rPr>
          <w:rFonts w:hint="default" w:eastAsia="仿宋" w:cs="Times New Roman"/>
          <w:color w:val="auto"/>
          <w:kern w:val="0"/>
          <w:lang w:val="en-US" w:eastAsia="zh-CN" w:bidi="ar"/>
        </w:rPr>
      </w:pPr>
      <w:r>
        <w:rPr>
          <w:rFonts w:hint="eastAsia" w:cs="Times New Roman"/>
          <w:color w:val="auto"/>
          <w:kern w:val="0"/>
          <w:lang w:eastAsia="zh-CN" w:bidi="ar"/>
        </w:rPr>
        <w:t>（</w:t>
      </w:r>
      <w:r>
        <w:rPr>
          <w:rFonts w:hint="eastAsia" w:cs="Times New Roman"/>
          <w:color w:val="auto"/>
          <w:kern w:val="0"/>
          <w:lang w:val="en-US" w:eastAsia="zh-CN" w:bidi="ar"/>
        </w:rPr>
        <w:t>5</w:t>
      </w:r>
      <w:r>
        <w:rPr>
          <w:rFonts w:hint="eastAsia" w:cs="Times New Roman"/>
          <w:color w:val="auto"/>
          <w:kern w:val="0"/>
          <w:lang w:eastAsia="zh-CN" w:bidi="ar"/>
        </w:rPr>
        <w:t>）</w:t>
      </w:r>
      <w:r>
        <w:rPr>
          <w:rFonts w:hint="eastAsia" w:cs="Times New Roman"/>
          <w:color w:val="auto"/>
          <w:kern w:val="0"/>
          <w:lang w:val="en-US" w:eastAsia="zh-CN" w:bidi="ar"/>
        </w:rPr>
        <w:t>交通</w:t>
      </w:r>
    </w:p>
    <w:p>
      <w:pPr>
        <w:widowControl/>
        <w:ind w:firstLine="560"/>
        <w:jc w:val="left"/>
        <w:rPr>
          <w:rFonts w:cs="Times New Roman"/>
          <w:color w:val="auto"/>
          <w:kern w:val="0"/>
          <w:lang w:bidi="ar"/>
        </w:rPr>
      </w:pPr>
      <w:r>
        <w:rPr>
          <w:rFonts w:cs="Times New Roman"/>
          <w:color w:val="auto"/>
          <w:kern w:val="0"/>
          <w:lang w:bidi="ar"/>
        </w:rPr>
        <w:t>绥棱县内交通方便，主要有铁路和公路两大系统。其中公路运输占据主要地位，主要有绥北路、绥建路、鸡讷公路、前嫩公路、东环路、繁华路、为民路等几条过境道路。县内有火车站、客车站各一处，</w:t>
      </w:r>
    </w:p>
    <w:p>
      <w:pPr>
        <w:widowControl/>
        <w:ind w:firstLine="0" w:firstLineChars="0"/>
        <w:jc w:val="left"/>
        <w:rPr>
          <w:rFonts w:cs="Times New Roman"/>
          <w:color w:val="auto"/>
          <w:kern w:val="0"/>
          <w:lang w:bidi="ar"/>
        </w:rPr>
      </w:pPr>
      <w:r>
        <w:rPr>
          <w:rFonts w:cs="Times New Roman"/>
          <w:color w:val="auto"/>
          <w:kern w:val="0"/>
          <w:lang w:bidi="ar"/>
        </w:rPr>
        <w:t>火车站等级为 3 级，站线条数 9 条，专用线条数 7 条。</w:t>
      </w:r>
    </w:p>
    <w:p>
      <w:pPr>
        <w:pStyle w:val="3"/>
        <w:ind w:firstLine="0" w:firstLineChars="0"/>
        <w:rPr>
          <w:rFonts w:ascii="Times New Roman" w:hAnsi="Times New Roman" w:eastAsia="仿宋" w:cs="Times New Roman"/>
          <w:color w:val="auto"/>
        </w:rPr>
      </w:pPr>
      <w:bookmarkStart w:id="26" w:name="_Toc7751"/>
      <w:r>
        <w:rPr>
          <w:rFonts w:ascii="Times New Roman" w:hAnsi="Times New Roman" w:eastAsia="仿宋" w:cs="Times New Roman"/>
          <w:color w:val="auto"/>
        </w:rPr>
        <w:t>2.3生态环境现状</w:t>
      </w:r>
      <w:bookmarkEnd w:id="26"/>
    </w:p>
    <w:p>
      <w:pPr>
        <w:pStyle w:val="4"/>
        <w:spacing w:line="600" w:lineRule="exact"/>
        <w:ind w:firstLine="0" w:firstLineChars="0"/>
        <w:rPr>
          <w:rFonts w:cs="Times New Roman"/>
          <w:color w:val="auto"/>
          <w:sz w:val="30"/>
          <w:szCs w:val="30"/>
        </w:rPr>
      </w:pPr>
      <w:r>
        <w:rPr>
          <w:rFonts w:cs="Times New Roman"/>
          <w:color w:val="auto"/>
          <w:sz w:val="30"/>
          <w:szCs w:val="30"/>
        </w:rPr>
        <w:t>2.3.1环境空气质量现状</w:t>
      </w:r>
    </w:p>
    <w:p>
      <w:pPr>
        <w:spacing w:line="600" w:lineRule="exact"/>
        <w:ind w:firstLine="560"/>
        <w:rPr>
          <w:rFonts w:cs="Times New Roman"/>
          <w:b/>
          <w:color w:val="auto"/>
        </w:rPr>
      </w:pPr>
      <w:r>
        <w:rPr>
          <w:rFonts w:cs="Times New Roman"/>
          <w:color w:val="auto"/>
        </w:rPr>
        <w:t>根据《绥化市环境质量年报（2021年度）》，2021年绥化市空气质量级别为二级，空气质量综合指数为3.18，同比降低13.4%，PM</w:t>
      </w:r>
      <w:r>
        <w:rPr>
          <w:rFonts w:cs="Times New Roman"/>
          <w:color w:val="auto"/>
          <w:vertAlign w:val="subscript"/>
        </w:rPr>
        <w:t>10</w:t>
      </w:r>
      <w:r>
        <w:rPr>
          <w:rFonts w:cs="Times New Roman"/>
          <w:color w:val="auto"/>
        </w:rPr>
        <w:t>年均浓度为49μg/m</w:t>
      </w:r>
      <w:r>
        <w:rPr>
          <w:rFonts w:cs="Times New Roman"/>
          <w:color w:val="auto"/>
          <w:vertAlign w:val="superscript"/>
        </w:rPr>
        <w:t>3</w:t>
      </w:r>
      <w:r>
        <w:rPr>
          <w:rFonts w:cs="Times New Roman"/>
          <w:color w:val="auto"/>
        </w:rPr>
        <w:t>，SO</w:t>
      </w:r>
      <w:r>
        <w:rPr>
          <w:rFonts w:cs="Times New Roman"/>
          <w:color w:val="auto"/>
          <w:vertAlign w:val="subscript"/>
        </w:rPr>
        <w:t>2</w:t>
      </w:r>
      <w:r>
        <w:rPr>
          <w:rFonts w:cs="Times New Roman"/>
          <w:color w:val="auto"/>
        </w:rPr>
        <w:t>年均浓度为8μg/m</w:t>
      </w:r>
      <w:r>
        <w:rPr>
          <w:rFonts w:cs="Times New Roman"/>
          <w:color w:val="auto"/>
          <w:vertAlign w:val="superscript"/>
        </w:rPr>
        <w:t>3</w:t>
      </w:r>
      <w:r>
        <w:rPr>
          <w:rFonts w:cs="Times New Roman"/>
          <w:color w:val="auto"/>
        </w:rPr>
        <w:t>，NO</w:t>
      </w:r>
      <w:r>
        <w:rPr>
          <w:rFonts w:cs="Times New Roman"/>
          <w:color w:val="auto"/>
          <w:vertAlign w:val="subscript"/>
        </w:rPr>
        <w:t>2</w:t>
      </w:r>
      <w:r>
        <w:rPr>
          <w:rFonts w:cs="Times New Roman"/>
          <w:color w:val="auto"/>
        </w:rPr>
        <w:t>年均浓度为16μg/m</w:t>
      </w:r>
      <w:r>
        <w:rPr>
          <w:rFonts w:cs="Times New Roman"/>
          <w:color w:val="auto"/>
          <w:vertAlign w:val="superscript"/>
        </w:rPr>
        <w:t>3</w:t>
      </w:r>
      <w:r>
        <w:rPr>
          <w:rFonts w:cs="Times New Roman"/>
          <w:color w:val="auto"/>
        </w:rPr>
        <w:t>，PM</w:t>
      </w:r>
      <w:r>
        <w:rPr>
          <w:rFonts w:cs="Times New Roman"/>
          <w:color w:val="auto"/>
          <w:vertAlign w:val="subscript"/>
        </w:rPr>
        <w:t>2.5</w:t>
      </w:r>
      <w:r>
        <w:rPr>
          <w:rFonts w:cs="Times New Roman"/>
          <w:color w:val="auto"/>
        </w:rPr>
        <w:t>年均浓度为33μg/m</w:t>
      </w:r>
      <w:r>
        <w:rPr>
          <w:rFonts w:cs="Times New Roman"/>
          <w:color w:val="auto"/>
          <w:vertAlign w:val="superscript"/>
        </w:rPr>
        <w:t>3</w:t>
      </w:r>
      <w:r>
        <w:rPr>
          <w:rFonts w:cs="Times New Roman"/>
          <w:color w:val="auto"/>
        </w:rPr>
        <w:t>，CO24小时平均第95百分位数浓度为1.0mg/m</w:t>
      </w:r>
      <w:r>
        <w:rPr>
          <w:rFonts w:cs="Times New Roman"/>
          <w:color w:val="auto"/>
          <w:vertAlign w:val="superscript"/>
        </w:rPr>
        <w:t>3</w:t>
      </w:r>
      <w:r>
        <w:rPr>
          <w:rFonts w:cs="Times New Roman"/>
          <w:color w:val="auto"/>
        </w:rPr>
        <w:t>，O</w:t>
      </w:r>
      <w:r>
        <w:rPr>
          <w:rFonts w:cs="Times New Roman"/>
          <w:color w:val="auto"/>
          <w:vertAlign w:val="subscript"/>
        </w:rPr>
        <w:t>3</w:t>
      </w:r>
      <w:r>
        <w:rPr>
          <w:rFonts w:cs="Times New Roman"/>
          <w:color w:val="auto"/>
        </w:rPr>
        <w:t>日最大8小时平均第90百分位数浓度为121μg/m</w:t>
      </w:r>
      <w:r>
        <w:rPr>
          <w:rFonts w:cs="Times New Roman"/>
          <w:color w:val="auto"/>
          <w:vertAlign w:val="superscript"/>
        </w:rPr>
        <w:t>3</w:t>
      </w:r>
      <w:r>
        <w:rPr>
          <w:rFonts w:cs="Times New Roman"/>
          <w:color w:val="auto"/>
        </w:rPr>
        <w:t>。有效监测天数为363天，达标天数为316天，达标率为87.0%，达标天数与上年相比升高了2个百分点。重污染及以上天数为3天，与上年（18天）相比减少了15天。</w:t>
      </w:r>
    </w:p>
    <w:p>
      <w:pPr>
        <w:pStyle w:val="4"/>
        <w:spacing w:line="600" w:lineRule="exact"/>
        <w:ind w:firstLine="0" w:firstLineChars="0"/>
        <w:rPr>
          <w:rFonts w:cs="Times New Roman"/>
          <w:color w:val="auto"/>
          <w:sz w:val="30"/>
          <w:szCs w:val="30"/>
        </w:rPr>
      </w:pPr>
      <w:r>
        <w:rPr>
          <w:rFonts w:cs="Times New Roman"/>
          <w:color w:val="auto"/>
          <w:sz w:val="30"/>
          <w:szCs w:val="30"/>
        </w:rPr>
        <w:t>2.3.2地表水环境质量现状</w:t>
      </w:r>
    </w:p>
    <w:p>
      <w:pPr>
        <w:tabs>
          <w:tab w:val="left" w:pos="1369"/>
        </w:tabs>
        <w:kinsoku w:val="0"/>
        <w:overflowPunct w:val="0"/>
        <w:autoSpaceDE w:val="0"/>
        <w:autoSpaceDN w:val="0"/>
        <w:adjustRightInd w:val="0"/>
        <w:spacing w:line="360" w:lineRule="auto"/>
        <w:ind w:firstLine="560" w:firstLineChars="200"/>
        <w:jc w:val="left"/>
        <w:rPr>
          <w:color w:val="auto"/>
          <w:sz w:val="28"/>
          <w:szCs w:val="28"/>
        </w:rPr>
      </w:pPr>
      <w:r>
        <w:rPr>
          <w:color w:val="auto"/>
          <w:sz w:val="28"/>
          <w:szCs w:val="28"/>
        </w:rPr>
        <w:t>根据《全国重要江河湖泊水功能区划（2011-2030年）》和黑龙江省地表水功能区划名录，分析区域水功能一级区为努敏河绥棱县源头水保护区、克音河绥棱县保留区。水功能二级区为努敏河绥棱县、绥化市农业用水区、克音河绥棱县排污控制区和克音河绥棱县过渡区，见表2-1。</w:t>
      </w:r>
    </w:p>
    <w:p>
      <w:pPr>
        <w:ind w:firstLine="0" w:firstLineChars="0"/>
        <w:jc w:val="center"/>
        <w:rPr>
          <w:rFonts w:eastAsia="黑体" w:cs="Times New Roman"/>
          <w:color w:val="auto"/>
        </w:rPr>
      </w:pPr>
      <w:bookmarkStart w:id="27" w:name="表3.2-1 分析范围水功能区统计表"/>
      <w:bookmarkEnd w:id="27"/>
      <w:r>
        <w:rPr>
          <w:rFonts w:eastAsia="黑体" w:cs="Times New Roman"/>
          <w:color w:val="auto"/>
        </w:rPr>
        <w:t>表2-1 绥棱县水功能区统计表</w:t>
      </w:r>
    </w:p>
    <w:tbl>
      <w:tblPr>
        <w:tblStyle w:val="16"/>
        <w:tblW w:w="8351" w:type="dxa"/>
        <w:tblInd w:w="0" w:type="dxa"/>
        <w:tblLayout w:type="fixed"/>
        <w:tblCellMar>
          <w:top w:w="0" w:type="dxa"/>
          <w:left w:w="0" w:type="dxa"/>
          <w:bottom w:w="0" w:type="dxa"/>
          <w:right w:w="0" w:type="dxa"/>
        </w:tblCellMar>
      </w:tblPr>
      <w:tblGrid>
        <w:gridCol w:w="478"/>
        <w:gridCol w:w="2345"/>
        <w:gridCol w:w="1925"/>
        <w:gridCol w:w="1033"/>
        <w:gridCol w:w="1091"/>
        <w:gridCol w:w="779"/>
        <w:gridCol w:w="700"/>
      </w:tblGrid>
      <w:tr>
        <w:tblPrEx>
          <w:tblCellMar>
            <w:top w:w="0" w:type="dxa"/>
            <w:left w:w="0" w:type="dxa"/>
            <w:bottom w:w="0" w:type="dxa"/>
            <w:right w:w="0" w:type="dxa"/>
          </w:tblCellMar>
        </w:tblPrEx>
        <w:trPr>
          <w:trHeight w:val="336" w:hRule="atLeast"/>
        </w:trPr>
        <w:tc>
          <w:tcPr>
            <w:tcW w:w="478"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cs="Times New Roman"/>
                <w:color w:val="auto"/>
                <w:sz w:val="24"/>
              </w:rPr>
            </w:pPr>
            <w:r>
              <w:rPr>
                <w:rFonts w:cs="Times New Roman"/>
                <w:color w:val="auto"/>
                <w:sz w:val="24"/>
              </w:rPr>
              <w:t>序号</w:t>
            </w:r>
          </w:p>
        </w:tc>
        <w:tc>
          <w:tcPr>
            <w:tcW w:w="2345"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cs="Times New Roman"/>
                <w:color w:val="auto"/>
                <w:sz w:val="24"/>
              </w:rPr>
            </w:pPr>
            <w:r>
              <w:rPr>
                <w:rFonts w:cs="Times New Roman"/>
                <w:color w:val="auto"/>
                <w:sz w:val="24"/>
              </w:rPr>
              <w:t>水功能区一级区</w:t>
            </w:r>
          </w:p>
        </w:tc>
        <w:tc>
          <w:tcPr>
            <w:tcW w:w="1925"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cs="Times New Roman"/>
                <w:color w:val="auto"/>
                <w:sz w:val="24"/>
              </w:rPr>
            </w:pPr>
            <w:r>
              <w:rPr>
                <w:rFonts w:cs="Times New Roman"/>
                <w:color w:val="auto"/>
                <w:sz w:val="24"/>
              </w:rPr>
              <w:t>水功能区二级区</w:t>
            </w:r>
          </w:p>
        </w:tc>
        <w:tc>
          <w:tcPr>
            <w:tcW w:w="2124"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cs="Times New Roman"/>
                <w:color w:val="auto"/>
                <w:sz w:val="24"/>
              </w:rPr>
            </w:pPr>
            <w:r>
              <w:rPr>
                <w:rFonts w:cs="Times New Roman"/>
                <w:color w:val="auto"/>
                <w:sz w:val="24"/>
              </w:rPr>
              <w:t>范围</w:t>
            </w:r>
          </w:p>
        </w:tc>
        <w:tc>
          <w:tcPr>
            <w:tcW w:w="779"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cs="Times New Roman"/>
                <w:color w:val="auto"/>
                <w:sz w:val="24"/>
              </w:rPr>
            </w:pPr>
            <w:r>
              <w:rPr>
                <w:rFonts w:cs="Times New Roman"/>
                <w:color w:val="auto"/>
                <w:sz w:val="24"/>
              </w:rPr>
              <w:t>长度(km)</w:t>
            </w:r>
          </w:p>
        </w:tc>
        <w:tc>
          <w:tcPr>
            <w:tcW w:w="700"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cs="Times New Roman"/>
                <w:color w:val="auto"/>
                <w:sz w:val="24"/>
              </w:rPr>
            </w:pPr>
            <w:r>
              <w:rPr>
                <w:rFonts w:cs="Times New Roman"/>
                <w:color w:val="auto"/>
                <w:sz w:val="24"/>
              </w:rPr>
              <w:t>水质目标</w:t>
            </w:r>
          </w:p>
        </w:tc>
      </w:tr>
      <w:tr>
        <w:tblPrEx>
          <w:tblCellMar>
            <w:top w:w="0" w:type="dxa"/>
            <w:left w:w="0" w:type="dxa"/>
            <w:bottom w:w="0" w:type="dxa"/>
            <w:right w:w="0" w:type="dxa"/>
          </w:tblCellMar>
        </w:tblPrEx>
        <w:trPr>
          <w:trHeight w:val="337" w:hRule="atLeast"/>
        </w:trPr>
        <w:tc>
          <w:tcPr>
            <w:tcW w:w="478" w:type="dxa"/>
            <w:vMerge w:val="continue"/>
            <w:tcBorders>
              <w:top w:val="nil"/>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cs="Times New Roman"/>
                <w:color w:val="auto"/>
                <w:sz w:val="24"/>
              </w:rPr>
            </w:pPr>
          </w:p>
        </w:tc>
        <w:tc>
          <w:tcPr>
            <w:tcW w:w="2345" w:type="dxa"/>
            <w:vMerge w:val="continue"/>
            <w:tcBorders>
              <w:top w:val="nil"/>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cs="Times New Roman"/>
                <w:color w:val="auto"/>
                <w:sz w:val="24"/>
              </w:rPr>
            </w:pPr>
          </w:p>
        </w:tc>
        <w:tc>
          <w:tcPr>
            <w:tcW w:w="1925" w:type="dxa"/>
            <w:vMerge w:val="continue"/>
            <w:tcBorders>
              <w:top w:val="nil"/>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cs="Times New Roman"/>
                <w:color w:val="auto"/>
                <w:sz w:val="24"/>
              </w:rPr>
            </w:pPr>
          </w:p>
        </w:tc>
        <w:tc>
          <w:tcPr>
            <w:tcW w:w="103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cs="Times New Roman"/>
                <w:color w:val="auto"/>
                <w:sz w:val="24"/>
              </w:rPr>
            </w:pPr>
            <w:r>
              <w:rPr>
                <w:rFonts w:cs="Times New Roman"/>
                <w:color w:val="auto"/>
                <w:sz w:val="24"/>
              </w:rPr>
              <w:t>起始断面</w:t>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cs="Times New Roman"/>
                <w:color w:val="auto"/>
                <w:sz w:val="24"/>
              </w:rPr>
            </w:pPr>
            <w:r>
              <w:rPr>
                <w:rFonts w:cs="Times New Roman"/>
                <w:color w:val="auto"/>
                <w:sz w:val="24"/>
              </w:rPr>
              <w:t>终止断面</w:t>
            </w:r>
          </w:p>
        </w:tc>
        <w:tc>
          <w:tcPr>
            <w:tcW w:w="779" w:type="dxa"/>
            <w:vMerge w:val="continue"/>
            <w:tcBorders>
              <w:top w:val="nil"/>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cs="Times New Roman"/>
                <w:color w:val="auto"/>
                <w:sz w:val="24"/>
              </w:rPr>
            </w:pPr>
          </w:p>
        </w:tc>
        <w:tc>
          <w:tcPr>
            <w:tcW w:w="700" w:type="dxa"/>
            <w:vMerge w:val="continue"/>
            <w:tcBorders>
              <w:top w:val="nil"/>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cs="Times New Roman"/>
                <w:color w:val="auto"/>
                <w:sz w:val="24"/>
              </w:rPr>
            </w:pPr>
          </w:p>
        </w:tc>
      </w:tr>
      <w:tr>
        <w:tblPrEx>
          <w:tblCellMar>
            <w:top w:w="0" w:type="dxa"/>
            <w:left w:w="0" w:type="dxa"/>
            <w:bottom w:w="0" w:type="dxa"/>
            <w:right w:w="0" w:type="dxa"/>
          </w:tblCellMar>
        </w:tblPrEx>
        <w:trPr>
          <w:trHeight w:val="642" w:hRule="atLeast"/>
        </w:trPr>
        <w:tc>
          <w:tcPr>
            <w:tcW w:w="47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cs="Times New Roman"/>
                <w:color w:val="auto"/>
                <w:sz w:val="24"/>
              </w:rPr>
            </w:pPr>
            <w:r>
              <w:rPr>
                <w:rFonts w:cs="Times New Roman"/>
                <w:color w:val="auto"/>
                <w:sz w:val="24"/>
              </w:rPr>
              <w:t>1</w:t>
            </w:r>
          </w:p>
        </w:tc>
        <w:tc>
          <w:tcPr>
            <w:tcW w:w="234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cs="Times New Roman"/>
                <w:color w:val="auto"/>
                <w:sz w:val="24"/>
              </w:rPr>
            </w:pPr>
            <w:r>
              <w:rPr>
                <w:rFonts w:cs="Times New Roman"/>
                <w:color w:val="auto"/>
                <w:sz w:val="24"/>
              </w:rPr>
              <w:t>努敏河绥棱县源头水保护区</w:t>
            </w:r>
          </w:p>
        </w:tc>
        <w:tc>
          <w:tcPr>
            <w:tcW w:w="19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eastAsia="仿宋" w:cs="Times New Roman"/>
                <w:color w:val="auto"/>
                <w:sz w:val="24"/>
                <w:lang w:val="en-US" w:eastAsia="zh-CN"/>
              </w:rPr>
            </w:pPr>
            <w:r>
              <w:rPr>
                <w:rFonts w:hint="eastAsia" w:cs="Times New Roman"/>
                <w:color w:val="auto"/>
                <w:sz w:val="24"/>
                <w:lang w:val="en-US" w:eastAsia="zh-CN"/>
              </w:rPr>
              <w:t>/</w:t>
            </w:r>
          </w:p>
        </w:tc>
        <w:tc>
          <w:tcPr>
            <w:tcW w:w="103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cs="Times New Roman"/>
                <w:color w:val="auto"/>
                <w:sz w:val="24"/>
              </w:rPr>
            </w:pPr>
            <w:r>
              <w:rPr>
                <w:rFonts w:cs="Times New Roman"/>
                <w:color w:val="auto"/>
                <w:sz w:val="24"/>
              </w:rPr>
              <w:t>源头</w:t>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cs="Times New Roman"/>
                <w:color w:val="auto"/>
                <w:sz w:val="24"/>
              </w:rPr>
            </w:pPr>
            <w:r>
              <w:rPr>
                <w:rFonts w:cs="Times New Roman"/>
                <w:color w:val="auto"/>
                <w:sz w:val="24"/>
              </w:rPr>
              <w:t>阁山大桥</w:t>
            </w:r>
          </w:p>
        </w:tc>
        <w:tc>
          <w:tcPr>
            <w:tcW w:w="77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cs="Times New Roman"/>
                <w:color w:val="auto"/>
                <w:sz w:val="24"/>
              </w:rPr>
            </w:pPr>
            <w:r>
              <w:rPr>
                <w:rFonts w:cs="Times New Roman"/>
                <w:color w:val="auto"/>
                <w:sz w:val="24"/>
              </w:rPr>
              <w:t>199.9</w:t>
            </w:r>
          </w:p>
        </w:tc>
        <w:tc>
          <w:tcPr>
            <w:tcW w:w="70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cs="Times New Roman"/>
                <w:color w:val="auto"/>
                <w:sz w:val="24"/>
              </w:rPr>
            </w:pPr>
            <w:r>
              <w:rPr>
                <w:rFonts w:hint="eastAsia" w:cs="Times New Roman"/>
                <w:color w:val="auto"/>
                <w:sz w:val="24"/>
              </w:rPr>
              <w:t>Ⅱ</w:t>
            </w:r>
          </w:p>
        </w:tc>
      </w:tr>
      <w:tr>
        <w:tblPrEx>
          <w:tblCellMar>
            <w:top w:w="0" w:type="dxa"/>
            <w:left w:w="0" w:type="dxa"/>
            <w:bottom w:w="0" w:type="dxa"/>
            <w:right w:w="0" w:type="dxa"/>
          </w:tblCellMar>
        </w:tblPrEx>
        <w:trPr>
          <w:trHeight w:val="638" w:hRule="atLeast"/>
        </w:trPr>
        <w:tc>
          <w:tcPr>
            <w:tcW w:w="47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cs="Times New Roman"/>
                <w:color w:val="auto"/>
                <w:sz w:val="24"/>
              </w:rPr>
            </w:pPr>
            <w:r>
              <w:rPr>
                <w:rFonts w:cs="Times New Roman"/>
                <w:color w:val="auto"/>
                <w:sz w:val="24"/>
              </w:rPr>
              <w:t>2</w:t>
            </w:r>
          </w:p>
        </w:tc>
        <w:tc>
          <w:tcPr>
            <w:tcW w:w="234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cs="Times New Roman"/>
                <w:color w:val="auto"/>
                <w:sz w:val="24"/>
              </w:rPr>
            </w:pPr>
            <w:r>
              <w:rPr>
                <w:rFonts w:cs="Times New Roman"/>
                <w:color w:val="auto"/>
                <w:sz w:val="24"/>
              </w:rPr>
              <w:t>克音河绥棱县保留区</w:t>
            </w:r>
          </w:p>
        </w:tc>
        <w:tc>
          <w:tcPr>
            <w:tcW w:w="19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eastAsia="仿宋" w:cs="Times New Roman"/>
                <w:color w:val="auto"/>
                <w:sz w:val="24"/>
                <w:lang w:val="en-US" w:eastAsia="zh-CN"/>
              </w:rPr>
            </w:pPr>
            <w:r>
              <w:rPr>
                <w:rFonts w:hint="eastAsia" w:cs="Times New Roman"/>
                <w:color w:val="auto"/>
                <w:sz w:val="24"/>
                <w:lang w:val="en-US" w:eastAsia="zh-CN"/>
              </w:rPr>
              <w:t>/</w:t>
            </w:r>
          </w:p>
        </w:tc>
        <w:tc>
          <w:tcPr>
            <w:tcW w:w="103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cs="Times New Roman"/>
                <w:color w:val="auto"/>
                <w:sz w:val="24"/>
              </w:rPr>
            </w:pPr>
            <w:r>
              <w:rPr>
                <w:rFonts w:cs="Times New Roman"/>
                <w:color w:val="auto"/>
                <w:sz w:val="24"/>
              </w:rPr>
              <w:t>源头</w:t>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cs="Times New Roman"/>
                <w:color w:val="auto"/>
                <w:sz w:val="24"/>
              </w:rPr>
            </w:pPr>
            <w:r>
              <w:rPr>
                <w:rFonts w:cs="Times New Roman"/>
                <w:color w:val="auto"/>
                <w:sz w:val="24"/>
              </w:rPr>
              <w:t>克音水文</w:t>
            </w:r>
          </w:p>
          <w:p>
            <w:pPr>
              <w:widowControl/>
              <w:spacing w:line="240" w:lineRule="auto"/>
              <w:ind w:firstLine="0" w:firstLineChars="0"/>
              <w:jc w:val="center"/>
              <w:rPr>
                <w:rFonts w:cs="Times New Roman"/>
                <w:color w:val="auto"/>
                <w:sz w:val="24"/>
              </w:rPr>
            </w:pPr>
            <w:r>
              <w:rPr>
                <w:rFonts w:cs="Times New Roman"/>
                <w:color w:val="auto"/>
                <w:sz w:val="24"/>
              </w:rPr>
              <w:t>站</w:t>
            </w:r>
          </w:p>
        </w:tc>
        <w:tc>
          <w:tcPr>
            <w:tcW w:w="77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cs="Times New Roman"/>
                <w:color w:val="auto"/>
                <w:sz w:val="24"/>
              </w:rPr>
            </w:pPr>
            <w:r>
              <w:rPr>
                <w:rFonts w:cs="Times New Roman"/>
                <w:color w:val="auto"/>
                <w:sz w:val="24"/>
              </w:rPr>
              <w:t>4</w:t>
            </w:r>
          </w:p>
        </w:tc>
        <w:tc>
          <w:tcPr>
            <w:tcW w:w="70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cs="Times New Roman"/>
                <w:color w:val="auto"/>
                <w:sz w:val="24"/>
              </w:rPr>
            </w:pPr>
            <w:r>
              <w:rPr>
                <w:rFonts w:hint="eastAsia" w:cs="Times New Roman"/>
                <w:color w:val="auto"/>
                <w:sz w:val="24"/>
              </w:rPr>
              <w:t>Ⅱ</w:t>
            </w:r>
          </w:p>
        </w:tc>
      </w:tr>
      <w:tr>
        <w:tblPrEx>
          <w:tblCellMar>
            <w:top w:w="0" w:type="dxa"/>
            <w:left w:w="0" w:type="dxa"/>
            <w:bottom w:w="0" w:type="dxa"/>
            <w:right w:w="0" w:type="dxa"/>
          </w:tblCellMar>
        </w:tblPrEx>
        <w:trPr>
          <w:trHeight w:val="736" w:hRule="atLeast"/>
        </w:trPr>
        <w:tc>
          <w:tcPr>
            <w:tcW w:w="47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cs="Times New Roman"/>
                <w:color w:val="auto"/>
                <w:sz w:val="24"/>
              </w:rPr>
            </w:pPr>
            <w:r>
              <w:rPr>
                <w:rFonts w:cs="Times New Roman"/>
                <w:color w:val="auto"/>
                <w:sz w:val="24"/>
              </w:rPr>
              <w:t>3</w:t>
            </w:r>
          </w:p>
        </w:tc>
        <w:tc>
          <w:tcPr>
            <w:tcW w:w="234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cs="Times New Roman"/>
                <w:color w:val="auto"/>
                <w:sz w:val="24"/>
              </w:rPr>
            </w:pPr>
            <w:r>
              <w:rPr>
                <w:rFonts w:cs="Times New Roman"/>
                <w:color w:val="auto"/>
                <w:sz w:val="24"/>
              </w:rPr>
              <w:t>努敏河绥棱县、绥化市开发利用区</w:t>
            </w:r>
          </w:p>
        </w:tc>
        <w:tc>
          <w:tcPr>
            <w:tcW w:w="19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cs="Times New Roman"/>
                <w:color w:val="auto"/>
                <w:sz w:val="24"/>
              </w:rPr>
            </w:pPr>
            <w:r>
              <w:rPr>
                <w:rFonts w:cs="Times New Roman"/>
                <w:color w:val="auto"/>
                <w:sz w:val="24"/>
              </w:rPr>
              <w:t>努敏河绥棱县、绥化市农业用水区</w:t>
            </w:r>
          </w:p>
        </w:tc>
        <w:tc>
          <w:tcPr>
            <w:tcW w:w="103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cs="Times New Roman"/>
                <w:color w:val="auto"/>
                <w:sz w:val="24"/>
              </w:rPr>
            </w:pPr>
            <w:r>
              <w:rPr>
                <w:rFonts w:cs="Times New Roman"/>
                <w:color w:val="auto"/>
                <w:sz w:val="24"/>
              </w:rPr>
              <w:t>阁山大桥</w:t>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cs="Times New Roman"/>
                <w:color w:val="auto"/>
                <w:sz w:val="24"/>
              </w:rPr>
            </w:pPr>
            <w:r>
              <w:rPr>
                <w:rFonts w:cs="Times New Roman"/>
                <w:color w:val="auto"/>
                <w:sz w:val="24"/>
              </w:rPr>
              <w:t>入呼兰河河口</w:t>
            </w:r>
          </w:p>
        </w:tc>
        <w:tc>
          <w:tcPr>
            <w:tcW w:w="77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cs="Times New Roman"/>
                <w:color w:val="auto"/>
                <w:sz w:val="24"/>
              </w:rPr>
            </w:pPr>
            <w:r>
              <w:rPr>
                <w:rFonts w:cs="Times New Roman"/>
                <w:color w:val="auto"/>
                <w:sz w:val="24"/>
              </w:rPr>
              <w:t>131.4</w:t>
            </w:r>
          </w:p>
        </w:tc>
        <w:tc>
          <w:tcPr>
            <w:tcW w:w="70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cs="Times New Roman"/>
                <w:color w:val="auto"/>
                <w:sz w:val="24"/>
              </w:rPr>
            </w:pPr>
            <w:r>
              <w:rPr>
                <w:rFonts w:hint="eastAsia" w:cs="Times New Roman"/>
                <w:color w:val="auto"/>
                <w:sz w:val="24"/>
              </w:rPr>
              <w:t>Ⅲ</w:t>
            </w:r>
          </w:p>
        </w:tc>
      </w:tr>
      <w:tr>
        <w:tblPrEx>
          <w:tblCellMar>
            <w:top w:w="0" w:type="dxa"/>
            <w:left w:w="0" w:type="dxa"/>
            <w:bottom w:w="0" w:type="dxa"/>
            <w:right w:w="0" w:type="dxa"/>
          </w:tblCellMar>
        </w:tblPrEx>
        <w:trPr>
          <w:trHeight w:val="638" w:hRule="atLeast"/>
        </w:trPr>
        <w:tc>
          <w:tcPr>
            <w:tcW w:w="47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cs="Times New Roman"/>
                <w:color w:val="auto"/>
                <w:sz w:val="24"/>
              </w:rPr>
            </w:pPr>
            <w:r>
              <w:rPr>
                <w:rFonts w:cs="Times New Roman"/>
                <w:color w:val="auto"/>
                <w:sz w:val="24"/>
              </w:rPr>
              <w:t>4</w:t>
            </w:r>
          </w:p>
        </w:tc>
        <w:tc>
          <w:tcPr>
            <w:tcW w:w="2345"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cs="Times New Roman"/>
                <w:color w:val="auto"/>
                <w:sz w:val="24"/>
              </w:rPr>
            </w:pPr>
            <w:r>
              <w:rPr>
                <w:rFonts w:cs="Times New Roman"/>
                <w:color w:val="auto"/>
                <w:sz w:val="24"/>
              </w:rPr>
              <w:t>克音河绥棱县开发利用区</w:t>
            </w:r>
          </w:p>
        </w:tc>
        <w:tc>
          <w:tcPr>
            <w:tcW w:w="19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cs="Times New Roman"/>
                <w:color w:val="auto"/>
                <w:sz w:val="24"/>
              </w:rPr>
            </w:pPr>
            <w:r>
              <w:rPr>
                <w:rFonts w:cs="Times New Roman"/>
                <w:color w:val="auto"/>
                <w:sz w:val="24"/>
              </w:rPr>
              <w:t>克音河绥棱县排</w:t>
            </w:r>
          </w:p>
          <w:p>
            <w:pPr>
              <w:widowControl/>
              <w:spacing w:line="240" w:lineRule="auto"/>
              <w:ind w:firstLine="0" w:firstLineChars="0"/>
              <w:jc w:val="center"/>
              <w:rPr>
                <w:rFonts w:cs="Times New Roman"/>
                <w:color w:val="auto"/>
                <w:sz w:val="24"/>
              </w:rPr>
            </w:pPr>
            <w:r>
              <w:rPr>
                <w:rFonts w:cs="Times New Roman"/>
                <w:color w:val="auto"/>
                <w:sz w:val="24"/>
              </w:rPr>
              <w:t>污控制区</w:t>
            </w:r>
          </w:p>
        </w:tc>
        <w:tc>
          <w:tcPr>
            <w:tcW w:w="103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cs="Times New Roman"/>
                <w:color w:val="auto"/>
                <w:sz w:val="24"/>
              </w:rPr>
            </w:pPr>
            <w:r>
              <w:rPr>
                <w:rFonts w:cs="Times New Roman"/>
                <w:color w:val="auto"/>
                <w:sz w:val="24"/>
              </w:rPr>
              <w:t>克音水文站</w:t>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cs="Times New Roman"/>
                <w:color w:val="auto"/>
                <w:sz w:val="24"/>
              </w:rPr>
            </w:pPr>
            <w:r>
              <w:rPr>
                <w:rFonts w:cs="Times New Roman"/>
                <w:color w:val="auto"/>
                <w:sz w:val="24"/>
              </w:rPr>
              <w:t>克音河公</w:t>
            </w:r>
          </w:p>
          <w:p>
            <w:pPr>
              <w:widowControl/>
              <w:spacing w:line="240" w:lineRule="auto"/>
              <w:ind w:firstLine="0" w:firstLineChars="0"/>
              <w:jc w:val="center"/>
              <w:rPr>
                <w:rFonts w:cs="Times New Roman"/>
                <w:color w:val="auto"/>
                <w:sz w:val="24"/>
              </w:rPr>
            </w:pPr>
            <w:r>
              <w:rPr>
                <w:rFonts w:cs="Times New Roman"/>
                <w:color w:val="auto"/>
                <w:sz w:val="24"/>
              </w:rPr>
              <w:t>路桥</w:t>
            </w:r>
          </w:p>
        </w:tc>
        <w:tc>
          <w:tcPr>
            <w:tcW w:w="77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cs="Times New Roman"/>
                <w:color w:val="auto"/>
                <w:sz w:val="24"/>
              </w:rPr>
            </w:pPr>
            <w:r>
              <w:rPr>
                <w:rFonts w:cs="Times New Roman"/>
                <w:color w:val="auto"/>
                <w:sz w:val="24"/>
              </w:rPr>
              <w:t>12.1</w:t>
            </w:r>
          </w:p>
        </w:tc>
        <w:tc>
          <w:tcPr>
            <w:tcW w:w="70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eastAsia="仿宋" w:cs="Times New Roman"/>
                <w:color w:val="auto"/>
                <w:sz w:val="24"/>
                <w:lang w:val="en-US" w:eastAsia="zh-CN"/>
              </w:rPr>
            </w:pPr>
            <w:r>
              <w:rPr>
                <w:rFonts w:hint="eastAsia" w:cs="Times New Roman"/>
                <w:color w:val="auto"/>
                <w:sz w:val="24"/>
                <w:lang w:val="en-US" w:eastAsia="zh-CN"/>
              </w:rPr>
              <w:t>/</w:t>
            </w:r>
          </w:p>
        </w:tc>
      </w:tr>
      <w:tr>
        <w:tblPrEx>
          <w:tblCellMar>
            <w:top w:w="0" w:type="dxa"/>
            <w:left w:w="0" w:type="dxa"/>
            <w:bottom w:w="0" w:type="dxa"/>
            <w:right w:w="0" w:type="dxa"/>
          </w:tblCellMar>
        </w:tblPrEx>
        <w:trPr>
          <w:trHeight w:val="640" w:hRule="atLeast"/>
        </w:trPr>
        <w:tc>
          <w:tcPr>
            <w:tcW w:w="47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cs="Times New Roman"/>
                <w:color w:val="auto"/>
                <w:sz w:val="24"/>
              </w:rPr>
            </w:pPr>
            <w:r>
              <w:rPr>
                <w:rFonts w:cs="Times New Roman"/>
                <w:color w:val="auto"/>
                <w:sz w:val="24"/>
              </w:rPr>
              <w:t>5</w:t>
            </w:r>
          </w:p>
        </w:tc>
        <w:tc>
          <w:tcPr>
            <w:tcW w:w="2345" w:type="dxa"/>
            <w:vMerge w:val="continue"/>
            <w:tcBorders>
              <w:top w:val="nil"/>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cs="Times New Roman"/>
                <w:color w:val="auto"/>
                <w:sz w:val="24"/>
              </w:rPr>
            </w:pPr>
          </w:p>
        </w:tc>
        <w:tc>
          <w:tcPr>
            <w:tcW w:w="19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cs="Times New Roman"/>
                <w:color w:val="auto"/>
                <w:sz w:val="24"/>
              </w:rPr>
            </w:pPr>
            <w:r>
              <w:rPr>
                <w:rFonts w:cs="Times New Roman"/>
                <w:color w:val="auto"/>
                <w:sz w:val="24"/>
              </w:rPr>
              <w:t>克音河绥棱县过</w:t>
            </w:r>
          </w:p>
          <w:p>
            <w:pPr>
              <w:widowControl/>
              <w:spacing w:line="240" w:lineRule="auto"/>
              <w:ind w:firstLine="0" w:firstLineChars="0"/>
              <w:jc w:val="center"/>
              <w:rPr>
                <w:rFonts w:cs="Times New Roman"/>
                <w:color w:val="auto"/>
                <w:sz w:val="24"/>
              </w:rPr>
            </w:pPr>
            <w:r>
              <w:rPr>
                <w:rFonts w:cs="Times New Roman"/>
                <w:color w:val="auto"/>
                <w:sz w:val="24"/>
              </w:rPr>
              <w:t>渡区</w:t>
            </w:r>
          </w:p>
        </w:tc>
        <w:tc>
          <w:tcPr>
            <w:tcW w:w="103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cs="Times New Roman"/>
                <w:color w:val="auto"/>
                <w:sz w:val="24"/>
              </w:rPr>
            </w:pPr>
            <w:r>
              <w:rPr>
                <w:rFonts w:cs="Times New Roman"/>
                <w:color w:val="auto"/>
                <w:sz w:val="24"/>
              </w:rPr>
              <w:t>克音河公路桥</w:t>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cs="Times New Roman"/>
                <w:color w:val="auto"/>
                <w:sz w:val="24"/>
              </w:rPr>
            </w:pPr>
            <w:r>
              <w:rPr>
                <w:rFonts w:cs="Times New Roman"/>
                <w:color w:val="auto"/>
                <w:sz w:val="24"/>
              </w:rPr>
              <w:t>红光村</w:t>
            </w:r>
          </w:p>
        </w:tc>
        <w:tc>
          <w:tcPr>
            <w:tcW w:w="77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cs="Times New Roman"/>
                <w:color w:val="auto"/>
                <w:sz w:val="24"/>
              </w:rPr>
            </w:pPr>
            <w:r>
              <w:rPr>
                <w:rFonts w:cs="Times New Roman"/>
                <w:color w:val="auto"/>
                <w:sz w:val="24"/>
              </w:rPr>
              <w:t>12.5</w:t>
            </w:r>
          </w:p>
        </w:tc>
        <w:tc>
          <w:tcPr>
            <w:tcW w:w="70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cs="Times New Roman"/>
                <w:color w:val="auto"/>
                <w:sz w:val="24"/>
              </w:rPr>
            </w:pPr>
            <w:r>
              <w:rPr>
                <w:rFonts w:hint="eastAsia" w:cs="Times New Roman"/>
                <w:color w:val="auto"/>
                <w:sz w:val="24"/>
              </w:rPr>
              <w:t>Ⅲ</w:t>
            </w:r>
          </w:p>
        </w:tc>
      </w:tr>
    </w:tbl>
    <w:p>
      <w:pPr>
        <w:kinsoku w:val="0"/>
        <w:overflowPunct w:val="0"/>
        <w:autoSpaceDE w:val="0"/>
        <w:autoSpaceDN w:val="0"/>
        <w:adjustRightInd w:val="0"/>
        <w:ind w:left="0" w:leftChars="0" w:firstLine="0" w:firstLineChars="0"/>
        <w:jc w:val="center"/>
        <w:rPr>
          <w:color w:val="auto"/>
          <w:kern w:val="0"/>
          <w:sz w:val="20"/>
          <w:szCs w:val="20"/>
        </w:rPr>
      </w:pPr>
      <w:r>
        <w:rPr>
          <w:color w:val="auto"/>
          <w:kern w:val="0"/>
          <w:sz w:val="20"/>
          <w:szCs w:val="20"/>
        </w:rPr>
        <w:drawing>
          <wp:inline distT="0" distB="0" distL="114300" distR="114300">
            <wp:extent cx="4689475" cy="4846955"/>
            <wp:effectExtent l="0" t="0" r="15875" b="10795"/>
            <wp:docPr id="1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5"/>
                    <pic:cNvPicPr>
                      <a:picLocks noChangeAspect="1"/>
                    </pic:cNvPicPr>
                  </pic:nvPicPr>
                  <pic:blipFill>
                    <a:blip r:embed="rId10"/>
                    <a:stretch>
                      <a:fillRect/>
                    </a:stretch>
                  </pic:blipFill>
                  <pic:spPr>
                    <a:xfrm>
                      <a:off x="0" y="0"/>
                      <a:ext cx="4689475" cy="4846955"/>
                    </a:xfrm>
                    <a:prstGeom prst="rect">
                      <a:avLst/>
                    </a:prstGeom>
                    <a:noFill/>
                    <a:ln>
                      <a:noFill/>
                    </a:ln>
                  </pic:spPr>
                </pic:pic>
              </a:graphicData>
            </a:graphic>
          </wp:inline>
        </w:drawing>
      </w:r>
    </w:p>
    <w:p>
      <w:pPr>
        <w:ind w:firstLine="0" w:firstLineChars="0"/>
        <w:jc w:val="center"/>
        <w:rPr>
          <w:rFonts w:eastAsia="黑体" w:cs="Times New Roman"/>
          <w:color w:val="auto"/>
        </w:rPr>
      </w:pPr>
      <w:r>
        <w:rPr>
          <w:rFonts w:eastAsia="黑体" w:cs="Times New Roman"/>
          <w:color w:val="auto"/>
        </w:rPr>
        <w:t>图 2-1 水功能区分布图</w:t>
      </w:r>
    </w:p>
    <w:p>
      <w:pPr>
        <w:spacing w:line="600" w:lineRule="atLeast"/>
        <w:ind w:left="0" w:leftChars="0" w:firstLine="560" w:firstLineChars="200"/>
        <w:rPr>
          <w:rFonts w:hint="default" w:eastAsia="仿宋" w:cs="Times New Roman"/>
          <w:color w:val="auto"/>
          <w:kern w:val="0"/>
          <w:lang w:val="en-US" w:eastAsia="zh-CN"/>
        </w:rPr>
      </w:pPr>
      <w:r>
        <w:rPr>
          <w:rFonts w:hint="eastAsia" w:cs="Times New Roman"/>
          <w:color w:val="auto"/>
          <w:kern w:val="0"/>
          <w:lang w:val="en-US" w:eastAsia="zh-CN"/>
        </w:rPr>
        <w:t>绥棱生态环境局于2019年对阁山大桥和上集大桥2个断面进行监测，2个断面所在功能区均为努敏河绥化市开发利用区，水质类别为III类，监测结果如下表。</w:t>
      </w:r>
    </w:p>
    <w:p>
      <w:pPr>
        <w:keepNext w:val="0"/>
        <w:keepLines w:val="0"/>
        <w:pageBreakBefore w:val="0"/>
        <w:widowControl w:val="0"/>
        <w:kinsoku/>
        <w:wordWrap/>
        <w:overflowPunct/>
        <w:topLinePunct w:val="0"/>
        <w:autoSpaceDE/>
        <w:autoSpaceDN/>
        <w:bidi w:val="0"/>
        <w:adjustRightInd/>
        <w:snapToGrid/>
        <w:spacing w:line="500" w:lineRule="atLeast"/>
        <w:ind w:firstLine="0" w:firstLineChars="0"/>
        <w:jc w:val="center"/>
        <w:textAlignment w:val="auto"/>
        <w:rPr>
          <w:rFonts w:eastAsia="黑体" w:cs="Times New Roman"/>
          <w:color w:val="auto"/>
        </w:rPr>
      </w:pPr>
      <w:r>
        <w:rPr>
          <w:rFonts w:eastAsia="黑体" w:cs="Times New Roman"/>
          <w:color w:val="auto"/>
        </w:rPr>
        <w:t>表2-</w:t>
      </w:r>
      <w:r>
        <w:rPr>
          <w:rFonts w:hint="eastAsia" w:eastAsia="黑体" w:cs="Times New Roman"/>
          <w:color w:val="auto"/>
          <w:lang w:val="en-US" w:eastAsia="zh-CN"/>
        </w:rPr>
        <w:t>2</w:t>
      </w:r>
      <w:r>
        <w:rPr>
          <w:rFonts w:eastAsia="黑体" w:cs="Times New Roman"/>
          <w:color w:val="auto"/>
        </w:rPr>
        <w:t xml:space="preserve">  </w:t>
      </w:r>
      <w:r>
        <w:rPr>
          <w:rFonts w:hint="eastAsia" w:eastAsia="黑体" w:cs="Times New Roman"/>
          <w:color w:val="auto"/>
          <w:lang w:val="en-US" w:eastAsia="zh-CN"/>
        </w:rPr>
        <w:t>2019年绥棱县考核</w:t>
      </w:r>
      <w:r>
        <w:rPr>
          <w:rFonts w:eastAsia="黑体" w:cs="Times New Roman"/>
          <w:color w:val="auto"/>
        </w:rPr>
        <w:t>断面水质情况</w:t>
      </w:r>
    </w:p>
    <w:tbl>
      <w:tblPr>
        <w:tblStyle w:val="1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0"/>
        <w:gridCol w:w="1062"/>
        <w:gridCol w:w="863"/>
        <w:gridCol w:w="825"/>
        <w:gridCol w:w="887"/>
        <w:gridCol w:w="913"/>
        <w:gridCol w:w="862"/>
        <w:gridCol w:w="900"/>
        <w:gridCol w:w="857"/>
        <w:gridCol w:w="8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00" w:type="dxa"/>
            <w:vMerge w:val="restart"/>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序号</w:t>
            </w:r>
          </w:p>
        </w:tc>
        <w:tc>
          <w:tcPr>
            <w:tcW w:w="1062" w:type="dxa"/>
            <w:vMerge w:val="restart"/>
            <w:vAlign w:val="center"/>
          </w:tcPr>
          <w:p>
            <w:pPr>
              <w:widowControl/>
              <w:spacing w:line="240" w:lineRule="auto"/>
              <w:ind w:firstLine="0" w:firstLineChars="0"/>
              <w:jc w:val="center"/>
              <w:rPr>
                <w:rFonts w:hint="default" w:cs="Times New Roman"/>
                <w:color w:val="auto"/>
                <w:sz w:val="24"/>
                <w:lang w:val="en-US" w:eastAsia="zh-CN"/>
              </w:rPr>
            </w:pPr>
            <w:r>
              <w:rPr>
                <w:rFonts w:hint="eastAsia" w:cs="Times New Roman"/>
                <w:color w:val="auto"/>
                <w:sz w:val="24"/>
                <w:lang w:val="en-US" w:eastAsia="zh-CN"/>
              </w:rPr>
              <w:t>监测因子</w:t>
            </w:r>
          </w:p>
        </w:tc>
        <w:tc>
          <w:tcPr>
            <w:tcW w:w="1688" w:type="dxa"/>
            <w:gridSpan w:val="2"/>
            <w:vAlign w:val="center"/>
          </w:tcPr>
          <w:p>
            <w:pPr>
              <w:widowControl/>
              <w:spacing w:line="240" w:lineRule="auto"/>
              <w:ind w:firstLine="0" w:firstLineChars="0"/>
              <w:jc w:val="center"/>
              <w:rPr>
                <w:rFonts w:hint="default" w:eastAsia="仿宋" w:cs="Times New Roman"/>
                <w:color w:val="auto"/>
                <w:sz w:val="24"/>
                <w:lang w:val="en-US" w:eastAsia="zh-CN"/>
              </w:rPr>
            </w:pPr>
            <w:r>
              <w:rPr>
                <w:rFonts w:hint="eastAsia" w:cs="Times New Roman"/>
                <w:color w:val="auto"/>
                <w:sz w:val="24"/>
                <w:lang w:val="en-US" w:eastAsia="zh-CN"/>
              </w:rPr>
              <w:t>2019年1月</w:t>
            </w:r>
          </w:p>
        </w:tc>
        <w:tc>
          <w:tcPr>
            <w:tcW w:w="1800" w:type="dxa"/>
            <w:gridSpan w:val="2"/>
            <w:vAlign w:val="center"/>
          </w:tcPr>
          <w:p>
            <w:pPr>
              <w:widowControl/>
              <w:spacing w:line="240" w:lineRule="auto"/>
              <w:ind w:firstLine="0" w:firstLineChars="0"/>
              <w:jc w:val="center"/>
              <w:rPr>
                <w:rFonts w:hint="default" w:cs="Times New Roman"/>
                <w:color w:val="auto"/>
                <w:sz w:val="24"/>
                <w:lang w:val="en-US"/>
              </w:rPr>
            </w:pPr>
            <w:r>
              <w:rPr>
                <w:rFonts w:hint="eastAsia" w:cs="Times New Roman"/>
                <w:color w:val="auto"/>
                <w:sz w:val="24"/>
                <w:lang w:val="en-US" w:eastAsia="zh-CN"/>
              </w:rPr>
              <w:t>2019年7月</w:t>
            </w:r>
          </w:p>
        </w:tc>
        <w:tc>
          <w:tcPr>
            <w:tcW w:w="1762" w:type="dxa"/>
            <w:gridSpan w:val="2"/>
            <w:vAlign w:val="center"/>
          </w:tcPr>
          <w:p>
            <w:pPr>
              <w:widowControl/>
              <w:spacing w:line="240" w:lineRule="auto"/>
              <w:ind w:firstLine="0" w:firstLineChars="0"/>
              <w:jc w:val="center"/>
              <w:rPr>
                <w:rFonts w:hint="default" w:cs="Times New Roman"/>
                <w:color w:val="auto"/>
                <w:sz w:val="24"/>
                <w:lang w:val="en-US"/>
              </w:rPr>
            </w:pPr>
            <w:r>
              <w:rPr>
                <w:rFonts w:hint="eastAsia" w:cs="Times New Roman"/>
                <w:color w:val="auto"/>
                <w:sz w:val="24"/>
                <w:lang w:val="en-US" w:eastAsia="zh-CN"/>
              </w:rPr>
              <w:t>2019年8月</w:t>
            </w:r>
          </w:p>
        </w:tc>
        <w:tc>
          <w:tcPr>
            <w:tcW w:w="1710" w:type="dxa"/>
            <w:gridSpan w:val="2"/>
            <w:vAlign w:val="center"/>
          </w:tcPr>
          <w:p>
            <w:pPr>
              <w:widowControl/>
              <w:spacing w:line="240" w:lineRule="auto"/>
              <w:ind w:firstLine="0" w:firstLineChars="0"/>
              <w:jc w:val="center"/>
              <w:rPr>
                <w:rFonts w:cs="Times New Roman"/>
                <w:color w:val="auto"/>
                <w:sz w:val="24"/>
              </w:rPr>
            </w:pPr>
            <w:r>
              <w:rPr>
                <w:rFonts w:hint="eastAsia" w:cs="Times New Roman"/>
                <w:color w:val="auto"/>
                <w:sz w:val="24"/>
                <w:lang w:val="en-US" w:eastAsia="zh-CN"/>
              </w:rPr>
              <w:t>2019年9月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00" w:type="dxa"/>
            <w:vMerge w:val="continue"/>
            <w:vAlign w:val="center"/>
          </w:tcPr>
          <w:p>
            <w:pPr>
              <w:widowControl/>
              <w:spacing w:line="240" w:lineRule="auto"/>
              <w:ind w:firstLine="0" w:firstLineChars="0"/>
              <w:jc w:val="center"/>
              <w:rPr>
                <w:rFonts w:cs="Times New Roman"/>
                <w:color w:val="auto"/>
                <w:sz w:val="24"/>
              </w:rPr>
            </w:pPr>
          </w:p>
        </w:tc>
        <w:tc>
          <w:tcPr>
            <w:tcW w:w="1062" w:type="dxa"/>
            <w:vMerge w:val="continue"/>
            <w:vAlign w:val="center"/>
          </w:tcPr>
          <w:p>
            <w:pPr>
              <w:widowControl/>
              <w:spacing w:line="240" w:lineRule="auto"/>
              <w:ind w:firstLine="0" w:firstLineChars="0"/>
              <w:jc w:val="center"/>
              <w:rPr>
                <w:rFonts w:cs="Times New Roman"/>
                <w:color w:val="auto"/>
                <w:sz w:val="24"/>
              </w:rPr>
            </w:pPr>
          </w:p>
        </w:tc>
        <w:tc>
          <w:tcPr>
            <w:tcW w:w="863" w:type="dxa"/>
            <w:vAlign w:val="center"/>
          </w:tcPr>
          <w:p>
            <w:pPr>
              <w:widowControl/>
              <w:spacing w:line="240" w:lineRule="auto"/>
              <w:ind w:firstLine="0" w:firstLineChars="0"/>
              <w:jc w:val="center"/>
              <w:rPr>
                <w:rFonts w:hint="default" w:eastAsia="仿宋" w:cs="Times New Roman"/>
                <w:color w:val="auto"/>
                <w:sz w:val="24"/>
                <w:lang w:val="en-US" w:eastAsia="zh-CN"/>
              </w:rPr>
            </w:pPr>
            <w:r>
              <w:rPr>
                <w:rFonts w:hint="eastAsia" w:cs="Times New Roman"/>
                <w:color w:val="auto"/>
                <w:sz w:val="24"/>
                <w:lang w:val="en-US" w:eastAsia="zh-CN"/>
              </w:rPr>
              <w:t>上集大桥</w:t>
            </w:r>
          </w:p>
        </w:tc>
        <w:tc>
          <w:tcPr>
            <w:tcW w:w="825" w:type="dxa"/>
            <w:vAlign w:val="center"/>
          </w:tcPr>
          <w:p>
            <w:pPr>
              <w:widowControl/>
              <w:spacing w:line="240" w:lineRule="auto"/>
              <w:ind w:firstLine="0" w:firstLineChars="0"/>
              <w:jc w:val="center"/>
              <w:rPr>
                <w:rFonts w:hint="default" w:eastAsia="仿宋" w:cs="Times New Roman"/>
                <w:color w:val="auto"/>
                <w:sz w:val="24"/>
                <w:lang w:val="en-US" w:eastAsia="zh-CN"/>
              </w:rPr>
            </w:pPr>
            <w:r>
              <w:rPr>
                <w:rFonts w:hint="eastAsia" w:cs="Times New Roman"/>
                <w:color w:val="auto"/>
                <w:sz w:val="24"/>
                <w:lang w:val="en-US" w:eastAsia="zh-CN"/>
              </w:rPr>
              <w:t>阁山大桥</w:t>
            </w:r>
          </w:p>
        </w:tc>
        <w:tc>
          <w:tcPr>
            <w:tcW w:w="887" w:type="dxa"/>
            <w:vAlign w:val="center"/>
          </w:tcPr>
          <w:p>
            <w:pPr>
              <w:widowControl/>
              <w:spacing w:line="240" w:lineRule="auto"/>
              <w:ind w:firstLine="0" w:firstLineChars="0"/>
              <w:jc w:val="center"/>
              <w:rPr>
                <w:rFonts w:cs="Times New Roman"/>
                <w:color w:val="auto"/>
                <w:sz w:val="24"/>
              </w:rPr>
            </w:pPr>
            <w:r>
              <w:rPr>
                <w:rFonts w:hint="eastAsia" w:cs="Times New Roman"/>
                <w:color w:val="auto"/>
                <w:sz w:val="24"/>
                <w:lang w:val="en-US" w:eastAsia="zh-CN"/>
              </w:rPr>
              <w:t>上集大桥</w:t>
            </w:r>
          </w:p>
        </w:tc>
        <w:tc>
          <w:tcPr>
            <w:tcW w:w="913" w:type="dxa"/>
            <w:vAlign w:val="center"/>
          </w:tcPr>
          <w:p>
            <w:pPr>
              <w:widowControl/>
              <w:spacing w:line="240" w:lineRule="auto"/>
              <w:ind w:firstLine="0" w:firstLineChars="0"/>
              <w:jc w:val="center"/>
              <w:rPr>
                <w:rFonts w:cs="Times New Roman"/>
                <w:color w:val="auto"/>
                <w:sz w:val="24"/>
              </w:rPr>
            </w:pPr>
            <w:r>
              <w:rPr>
                <w:rFonts w:hint="eastAsia" w:cs="Times New Roman"/>
                <w:color w:val="auto"/>
                <w:sz w:val="24"/>
                <w:lang w:val="en-US" w:eastAsia="zh-CN"/>
              </w:rPr>
              <w:t>阁山大桥</w:t>
            </w:r>
          </w:p>
        </w:tc>
        <w:tc>
          <w:tcPr>
            <w:tcW w:w="862" w:type="dxa"/>
            <w:vAlign w:val="center"/>
          </w:tcPr>
          <w:p>
            <w:pPr>
              <w:widowControl/>
              <w:spacing w:line="240" w:lineRule="auto"/>
              <w:ind w:firstLine="0" w:firstLineChars="0"/>
              <w:jc w:val="center"/>
              <w:rPr>
                <w:rFonts w:cs="Times New Roman"/>
                <w:color w:val="auto"/>
                <w:sz w:val="24"/>
              </w:rPr>
            </w:pPr>
            <w:r>
              <w:rPr>
                <w:rFonts w:hint="eastAsia" w:cs="Times New Roman"/>
                <w:color w:val="auto"/>
                <w:sz w:val="24"/>
                <w:lang w:val="en-US" w:eastAsia="zh-CN"/>
              </w:rPr>
              <w:t>上集大桥</w:t>
            </w:r>
          </w:p>
        </w:tc>
        <w:tc>
          <w:tcPr>
            <w:tcW w:w="900" w:type="dxa"/>
            <w:vAlign w:val="center"/>
          </w:tcPr>
          <w:p>
            <w:pPr>
              <w:widowControl/>
              <w:spacing w:line="240" w:lineRule="auto"/>
              <w:ind w:firstLine="0" w:firstLineChars="0"/>
              <w:jc w:val="center"/>
              <w:rPr>
                <w:rFonts w:cs="Times New Roman"/>
                <w:color w:val="auto"/>
                <w:sz w:val="24"/>
              </w:rPr>
            </w:pPr>
            <w:r>
              <w:rPr>
                <w:rFonts w:hint="eastAsia" w:cs="Times New Roman"/>
                <w:color w:val="auto"/>
                <w:sz w:val="24"/>
                <w:lang w:val="en-US" w:eastAsia="zh-CN"/>
              </w:rPr>
              <w:t>阁山大桥</w:t>
            </w:r>
          </w:p>
        </w:tc>
        <w:tc>
          <w:tcPr>
            <w:tcW w:w="857" w:type="dxa"/>
            <w:vAlign w:val="center"/>
          </w:tcPr>
          <w:p>
            <w:pPr>
              <w:widowControl/>
              <w:spacing w:line="240" w:lineRule="auto"/>
              <w:ind w:firstLine="0" w:firstLineChars="0"/>
              <w:jc w:val="center"/>
              <w:rPr>
                <w:rFonts w:cs="Times New Roman"/>
                <w:color w:val="auto"/>
                <w:sz w:val="24"/>
              </w:rPr>
            </w:pPr>
            <w:r>
              <w:rPr>
                <w:rFonts w:hint="eastAsia" w:cs="Times New Roman"/>
                <w:color w:val="auto"/>
                <w:sz w:val="24"/>
                <w:lang w:val="en-US" w:eastAsia="zh-CN"/>
              </w:rPr>
              <w:t>上集大桥</w:t>
            </w:r>
          </w:p>
        </w:tc>
        <w:tc>
          <w:tcPr>
            <w:tcW w:w="853" w:type="dxa"/>
            <w:vAlign w:val="center"/>
          </w:tcPr>
          <w:p>
            <w:pPr>
              <w:widowControl/>
              <w:spacing w:line="240" w:lineRule="auto"/>
              <w:ind w:firstLine="0" w:firstLineChars="0"/>
              <w:jc w:val="center"/>
              <w:rPr>
                <w:rFonts w:cs="Times New Roman"/>
                <w:color w:val="auto"/>
                <w:sz w:val="24"/>
              </w:rPr>
            </w:pPr>
            <w:r>
              <w:rPr>
                <w:rFonts w:hint="eastAsia" w:cs="Times New Roman"/>
                <w:color w:val="auto"/>
                <w:sz w:val="24"/>
                <w:lang w:val="en-US" w:eastAsia="zh-CN"/>
              </w:rPr>
              <w:t>阁山大桥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dxa"/>
            <w:vAlign w:val="center"/>
          </w:tcPr>
          <w:p>
            <w:pPr>
              <w:widowControl/>
              <w:spacing w:line="240" w:lineRule="auto"/>
              <w:ind w:firstLine="0" w:firstLineChars="0"/>
              <w:jc w:val="center"/>
              <w:rPr>
                <w:rFonts w:hint="eastAsia" w:eastAsia="仿宋" w:cs="Times New Roman"/>
                <w:color w:val="auto"/>
                <w:sz w:val="24"/>
                <w:lang w:val="en-US" w:eastAsia="zh-CN"/>
              </w:rPr>
            </w:pPr>
            <w:r>
              <w:rPr>
                <w:rFonts w:hint="eastAsia" w:cs="Times New Roman"/>
                <w:color w:val="auto"/>
                <w:sz w:val="24"/>
                <w:lang w:val="en-US" w:eastAsia="zh-CN"/>
              </w:rPr>
              <w:t>1</w:t>
            </w:r>
          </w:p>
        </w:tc>
        <w:tc>
          <w:tcPr>
            <w:tcW w:w="1062" w:type="dxa"/>
            <w:vAlign w:val="center"/>
          </w:tcPr>
          <w:p>
            <w:pPr>
              <w:widowControl/>
              <w:spacing w:line="240" w:lineRule="auto"/>
              <w:ind w:firstLine="0" w:firstLineChars="0"/>
              <w:jc w:val="center"/>
              <w:rPr>
                <w:rFonts w:hint="default" w:eastAsia="仿宋" w:cs="Times New Roman"/>
                <w:color w:val="auto"/>
                <w:sz w:val="24"/>
                <w:lang w:val="en-US" w:eastAsia="zh-CN"/>
              </w:rPr>
            </w:pPr>
            <w:r>
              <w:rPr>
                <w:rFonts w:hint="eastAsia" w:cs="Times New Roman"/>
                <w:color w:val="auto"/>
                <w:sz w:val="24"/>
                <w:lang w:val="en-US" w:eastAsia="zh-CN"/>
              </w:rPr>
              <w:t>pH</w:t>
            </w:r>
          </w:p>
        </w:tc>
        <w:tc>
          <w:tcPr>
            <w:tcW w:w="863" w:type="dxa"/>
            <w:vAlign w:val="center"/>
          </w:tcPr>
          <w:p>
            <w:pPr>
              <w:widowControl/>
              <w:spacing w:line="240" w:lineRule="auto"/>
              <w:ind w:firstLine="0" w:firstLineChars="0"/>
              <w:jc w:val="center"/>
              <w:rPr>
                <w:rFonts w:hint="default" w:eastAsia="仿宋" w:cs="Times New Roman"/>
                <w:color w:val="auto"/>
                <w:sz w:val="24"/>
                <w:lang w:val="en-US" w:eastAsia="zh-CN"/>
              </w:rPr>
            </w:pPr>
            <w:r>
              <w:rPr>
                <w:rFonts w:hint="eastAsia" w:cs="Times New Roman"/>
                <w:color w:val="auto"/>
                <w:sz w:val="24"/>
                <w:lang w:val="en-US" w:eastAsia="zh-CN"/>
              </w:rPr>
              <w:t>7.63</w:t>
            </w:r>
          </w:p>
        </w:tc>
        <w:tc>
          <w:tcPr>
            <w:tcW w:w="825" w:type="dxa"/>
            <w:vAlign w:val="center"/>
          </w:tcPr>
          <w:p>
            <w:pPr>
              <w:widowControl/>
              <w:spacing w:line="240" w:lineRule="auto"/>
              <w:ind w:firstLine="0" w:firstLineChars="0"/>
              <w:jc w:val="center"/>
              <w:rPr>
                <w:rFonts w:hint="default" w:eastAsia="仿宋" w:cs="Times New Roman"/>
                <w:color w:val="auto"/>
                <w:sz w:val="24"/>
                <w:lang w:val="en-US" w:eastAsia="zh-CN"/>
              </w:rPr>
            </w:pPr>
            <w:r>
              <w:rPr>
                <w:rFonts w:hint="eastAsia" w:cs="Times New Roman"/>
                <w:color w:val="auto"/>
                <w:sz w:val="24"/>
                <w:lang w:val="en-US" w:eastAsia="zh-CN"/>
              </w:rPr>
              <w:t>7.78</w:t>
            </w:r>
          </w:p>
        </w:tc>
        <w:tc>
          <w:tcPr>
            <w:tcW w:w="887" w:type="dxa"/>
            <w:vAlign w:val="center"/>
          </w:tcPr>
          <w:p>
            <w:pPr>
              <w:widowControl/>
              <w:spacing w:line="240" w:lineRule="auto"/>
              <w:ind w:firstLine="0" w:firstLineChars="0"/>
              <w:jc w:val="center"/>
              <w:rPr>
                <w:rFonts w:hint="default" w:eastAsia="仿宋" w:cs="Times New Roman"/>
                <w:color w:val="auto"/>
                <w:sz w:val="24"/>
                <w:lang w:val="en-US" w:eastAsia="zh-CN"/>
              </w:rPr>
            </w:pPr>
            <w:r>
              <w:rPr>
                <w:rFonts w:hint="eastAsia" w:cs="Times New Roman"/>
                <w:color w:val="auto"/>
                <w:sz w:val="24"/>
                <w:lang w:val="en-US" w:eastAsia="zh-CN"/>
              </w:rPr>
              <w:t>7.74</w:t>
            </w:r>
          </w:p>
        </w:tc>
        <w:tc>
          <w:tcPr>
            <w:tcW w:w="913" w:type="dxa"/>
            <w:vAlign w:val="center"/>
          </w:tcPr>
          <w:p>
            <w:pPr>
              <w:widowControl/>
              <w:spacing w:line="240" w:lineRule="auto"/>
              <w:ind w:firstLine="0" w:firstLineChars="0"/>
              <w:jc w:val="center"/>
              <w:rPr>
                <w:rFonts w:hint="default" w:eastAsia="仿宋" w:cs="Times New Roman"/>
                <w:color w:val="auto"/>
                <w:sz w:val="24"/>
                <w:lang w:val="en-US" w:eastAsia="zh-CN"/>
              </w:rPr>
            </w:pPr>
            <w:r>
              <w:rPr>
                <w:rFonts w:hint="eastAsia" w:cs="Times New Roman"/>
                <w:color w:val="auto"/>
                <w:sz w:val="24"/>
                <w:lang w:val="en-US" w:eastAsia="zh-CN"/>
              </w:rPr>
              <w:t>7.63</w:t>
            </w:r>
          </w:p>
        </w:tc>
        <w:tc>
          <w:tcPr>
            <w:tcW w:w="862" w:type="dxa"/>
            <w:vAlign w:val="center"/>
          </w:tcPr>
          <w:p>
            <w:pPr>
              <w:widowControl/>
              <w:spacing w:line="240" w:lineRule="auto"/>
              <w:ind w:firstLine="0" w:firstLineChars="0"/>
              <w:jc w:val="center"/>
              <w:rPr>
                <w:rFonts w:hint="default" w:eastAsia="仿宋" w:cs="Times New Roman"/>
                <w:color w:val="auto"/>
                <w:sz w:val="24"/>
                <w:lang w:val="en-US" w:eastAsia="zh-CN"/>
              </w:rPr>
            </w:pPr>
            <w:r>
              <w:rPr>
                <w:rFonts w:hint="eastAsia" w:cs="Times New Roman"/>
                <w:color w:val="auto"/>
                <w:sz w:val="24"/>
                <w:lang w:val="en-US" w:eastAsia="zh-CN"/>
              </w:rPr>
              <w:t>7.51</w:t>
            </w:r>
          </w:p>
        </w:tc>
        <w:tc>
          <w:tcPr>
            <w:tcW w:w="900" w:type="dxa"/>
            <w:vAlign w:val="center"/>
          </w:tcPr>
          <w:p>
            <w:pPr>
              <w:widowControl/>
              <w:spacing w:line="240" w:lineRule="auto"/>
              <w:ind w:firstLine="0" w:firstLineChars="0"/>
              <w:jc w:val="center"/>
              <w:rPr>
                <w:rFonts w:cs="Times New Roman"/>
                <w:color w:val="auto"/>
                <w:sz w:val="24"/>
              </w:rPr>
            </w:pPr>
            <w:r>
              <w:rPr>
                <w:rFonts w:hint="eastAsia" w:cs="Times New Roman"/>
                <w:color w:val="auto"/>
                <w:sz w:val="24"/>
                <w:lang w:val="en-US" w:eastAsia="zh-CN"/>
              </w:rPr>
              <w:t>7.48</w:t>
            </w:r>
          </w:p>
        </w:tc>
        <w:tc>
          <w:tcPr>
            <w:tcW w:w="857" w:type="dxa"/>
            <w:vAlign w:val="center"/>
          </w:tcPr>
          <w:p>
            <w:pPr>
              <w:widowControl/>
              <w:spacing w:line="240" w:lineRule="auto"/>
              <w:ind w:firstLine="0" w:firstLineChars="0"/>
              <w:jc w:val="center"/>
              <w:rPr>
                <w:rFonts w:hint="default" w:eastAsia="仿宋" w:cs="Times New Roman"/>
                <w:color w:val="auto"/>
                <w:sz w:val="24"/>
                <w:lang w:val="en-US" w:eastAsia="zh-CN"/>
              </w:rPr>
            </w:pPr>
            <w:r>
              <w:rPr>
                <w:rFonts w:hint="eastAsia" w:cs="Times New Roman"/>
                <w:color w:val="auto"/>
                <w:sz w:val="24"/>
                <w:lang w:val="en-US" w:eastAsia="zh-CN"/>
              </w:rPr>
              <w:t>7.37</w:t>
            </w:r>
          </w:p>
        </w:tc>
        <w:tc>
          <w:tcPr>
            <w:tcW w:w="853" w:type="dxa"/>
            <w:vAlign w:val="center"/>
          </w:tcPr>
          <w:p>
            <w:pPr>
              <w:widowControl/>
              <w:spacing w:line="240" w:lineRule="auto"/>
              <w:ind w:firstLine="0" w:firstLineChars="0"/>
              <w:jc w:val="center"/>
              <w:rPr>
                <w:rFonts w:hint="default" w:eastAsia="仿宋" w:cs="Times New Roman"/>
                <w:color w:val="auto"/>
                <w:sz w:val="24"/>
                <w:lang w:val="en-US" w:eastAsia="zh-CN"/>
              </w:rPr>
            </w:pPr>
            <w:r>
              <w:rPr>
                <w:rFonts w:hint="eastAsia" w:cs="Times New Roman"/>
                <w:color w:val="auto"/>
                <w:sz w:val="24"/>
                <w:lang w:val="en-US" w:eastAsia="zh-CN"/>
              </w:rPr>
              <w:t>7.25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dxa"/>
            <w:vAlign w:val="center"/>
          </w:tcPr>
          <w:p>
            <w:pPr>
              <w:widowControl/>
              <w:spacing w:line="240" w:lineRule="auto"/>
              <w:ind w:firstLine="0" w:firstLineChars="0"/>
              <w:jc w:val="center"/>
              <w:rPr>
                <w:rFonts w:hint="eastAsia" w:eastAsia="仿宋" w:cs="Times New Roman"/>
                <w:color w:val="auto"/>
                <w:sz w:val="24"/>
                <w:lang w:val="en-US" w:eastAsia="zh-CN"/>
              </w:rPr>
            </w:pPr>
            <w:r>
              <w:rPr>
                <w:rFonts w:hint="eastAsia" w:cs="Times New Roman"/>
                <w:color w:val="auto"/>
                <w:sz w:val="24"/>
                <w:lang w:val="en-US" w:eastAsia="zh-CN"/>
              </w:rPr>
              <w:t>2</w:t>
            </w:r>
          </w:p>
        </w:tc>
        <w:tc>
          <w:tcPr>
            <w:tcW w:w="1062" w:type="dxa"/>
            <w:vAlign w:val="center"/>
          </w:tcPr>
          <w:p>
            <w:pPr>
              <w:widowControl/>
              <w:spacing w:line="240" w:lineRule="auto"/>
              <w:ind w:firstLine="0" w:firstLineChars="0"/>
              <w:jc w:val="center"/>
              <w:rPr>
                <w:rFonts w:hint="default" w:eastAsia="仿宋" w:cs="Times New Roman"/>
                <w:color w:val="auto"/>
                <w:sz w:val="24"/>
                <w:lang w:val="en-US" w:eastAsia="zh-CN"/>
              </w:rPr>
            </w:pPr>
            <w:r>
              <w:rPr>
                <w:rFonts w:hint="eastAsia" w:cs="Times New Roman"/>
                <w:color w:val="auto"/>
                <w:sz w:val="24"/>
                <w:lang w:val="en-US" w:eastAsia="zh-CN"/>
              </w:rPr>
              <w:t>溶解氧</w:t>
            </w:r>
          </w:p>
        </w:tc>
        <w:tc>
          <w:tcPr>
            <w:tcW w:w="863" w:type="dxa"/>
            <w:vAlign w:val="center"/>
          </w:tcPr>
          <w:p>
            <w:pPr>
              <w:widowControl/>
              <w:spacing w:line="240" w:lineRule="auto"/>
              <w:ind w:firstLine="0" w:firstLineChars="0"/>
              <w:jc w:val="center"/>
              <w:rPr>
                <w:rFonts w:hint="default" w:eastAsia="仿宋" w:cs="Times New Roman"/>
                <w:color w:val="auto"/>
                <w:sz w:val="24"/>
                <w:lang w:val="en-US" w:eastAsia="zh-CN"/>
              </w:rPr>
            </w:pPr>
            <w:r>
              <w:rPr>
                <w:rFonts w:hint="eastAsia" w:cs="Times New Roman"/>
                <w:color w:val="auto"/>
                <w:sz w:val="24"/>
                <w:lang w:val="en-US" w:eastAsia="zh-CN"/>
              </w:rPr>
              <w:t>9.0</w:t>
            </w:r>
          </w:p>
        </w:tc>
        <w:tc>
          <w:tcPr>
            <w:tcW w:w="825" w:type="dxa"/>
            <w:vAlign w:val="center"/>
          </w:tcPr>
          <w:p>
            <w:pPr>
              <w:widowControl/>
              <w:spacing w:line="240" w:lineRule="auto"/>
              <w:ind w:firstLine="0" w:firstLineChars="0"/>
              <w:jc w:val="center"/>
              <w:rPr>
                <w:rFonts w:hint="default" w:eastAsia="仿宋" w:cs="Times New Roman"/>
                <w:color w:val="auto"/>
                <w:sz w:val="24"/>
                <w:lang w:val="en-US" w:eastAsia="zh-CN"/>
              </w:rPr>
            </w:pPr>
            <w:r>
              <w:rPr>
                <w:rFonts w:hint="eastAsia" w:cs="Times New Roman"/>
                <w:color w:val="auto"/>
                <w:sz w:val="24"/>
                <w:lang w:val="en-US" w:eastAsia="zh-CN"/>
              </w:rPr>
              <w:t>8.6</w:t>
            </w:r>
          </w:p>
        </w:tc>
        <w:tc>
          <w:tcPr>
            <w:tcW w:w="887" w:type="dxa"/>
            <w:vAlign w:val="center"/>
          </w:tcPr>
          <w:p>
            <w:pPr>
              <w:widowControl/>
              <w:spacing w:line="240" w:lineRule="auto"/>
              <w:ind w:firstLine="0" w:firstLineChars="0"/>
              <w:jc w:val="center"/>
              <w:rPr>
                <w:rFonts w:hint="default" w:eastAsia="仿宋" w:cs="Times New Roman"/>
                <w:color w:val="auto"/>
                <w:sz w:val="24"/>
                <w:lang w:val="en-US" w:eastAsia="zh-CN"/>
              </w:rPr>
            </w:pPr>
            <w:r>
              <w:rPr>
                <w:rFonts w:hint="eastAsia" w:cs="Times New Roman"/>
                <w:color w:val="auto"/>
                <w:sz w:val="24"/>
                <w:lang w:val="en-US" w:eastAsia="zh-CN"/>
              </w:rPr>
              <w:t>8.0</w:t>
            </w:r>
          </w:p>
        </w:tc>
        <w:tc>
          <w:tcPr>
            <w:tcW w:w="913" w:type="dxa"/>
            <w:vAlign w:val="center"/>
          </w:tcPr>
          <w:p>
            <w:pPr>
              <w:widowControl/>
              <w:spacing w:line="240" w:lineRule="auto"/>
              <w:ind w:firstLine="0" w:firstLineChars="0"/>
              <w:jc w:val="center"/>
              <w:rPr>
                <w:rFonts w:hint="default" w:eastAsia="仿宋" w:cs="Times New Roman"/>
                <w:color w:val="auto"/>
                <w:sz w:val="24"/>
                <w:lang w:val="en-US" w:eastAsia="zh-CN"/>
              </w:rPr>
            </w:pPr>
            <w:r>
              <w:rPr>
                <w:rFonts w:hint="eastAsia" w:cs="Times New Roman"/>
                <w:color w:val="auto"/>
                <w:sz w:val="24"/>
                <w:lang w:val="en-US" w:eastAsia="zh-CN"/>
              </w:rPr>
              <w:t>8.1</w:t>
            </w:r>
          </w:p>
        </w:tc>
        <w:tc>
          <w:tcPr>
            <w:tcW w:w="862" w:type="dxa"/>
            <w:vAlign w:val="center"/>
          </w:tcPr>
          <w:p>
            <w:pPr>
              <w:widowControl/>
              <w:spacing w:line="240" w:lineRule="auto"/>
              <w:ind w:firstLine="0" w:firstLineChars="0"/>
              <w:jc w:val="center"/>
              <w:rPr>
                <w:rFonts w:hint="default" w:eastAsia="仿宋" w:cs="Times New Roman"/>
                <w:color w:val="auto"/>
                <w:sz w:val="24"/>
                <w:lang w:val="en-US" w:eastAsia="zh-CN"/>
              </w:rPr>
            </w:pPr>
            <w:r>
              <w:rPr>
                <w:rFonts w:hint="eastAsia" w:cs="Times New Roman"/>
                <w:color w:val="auto"/>
                <w:sz w:val="24"/>
                <w:lang w:val="en-US" w:eastAsia="zh-CN"/>
              </w:rPr>
              <w:t>8.3</w:t>
            </w:r>
          </w:p>
        </w:tc>
        <w:tc>
          <w:tcPr>
            <w:tcW w:w="900" w:type="dxa"/>
            <w:vAlign w:val="center"/>
          </w:tcPr>
          <w:p>
            <w:pPr>
              <w:widowControl/>
              <w:spacing w:line="240" w:lineRule="auto"/>
              <w:ind w:firstLine="0" w:firstLineChars="0"/>
              <w:jc w:val="center"/>
              <w:rPr>
                <w:rFonts w:hint="default" w:eastAsia="仿宋" w:cs="Times New Roman"/>
                <w:color w:val="auto"/>
                <w:sz w:val="24"/>
                <w:lang w:val="en-US" w:eastAsia="zh-CN"/>
              </w:rPr>
            </w:pPr>
            <w:r>
              <w:rPr>
                <w:rFonts w:hint="eastAsia" w:cs="Times New Roman"/>
                <w:color w:val="auto"/>
                <w:sz w:val="24"/>
                <w:lang w:val="en-US" w:eastAsia="zh-CN"/>
              </w:rPr>
              <w:t>8.1</w:t>
            </w:r>
          </w:p>
        </w:tc>
        <w:tc>
          <w:tcPr>
            <w:tcW w:w="857" w:type="dxa"/>
            <w:vAlign w:val="center"/>
          </w:tcPr>
          <w:p>
            <w:pPr>
              <w:widowControl/>
              <w:spacing w:line="240" w:lineRule="auto"/>
              <w:ind w:firstLine="0" w:firstLineChars="0"/>
              <w:jc w:val="center"/>
              <w:rPr>
                <w:rFonts w:hint="default" w:eastAsia="仿宋" w:cs="Times New Roman"/>
                <w:color w:val="auto"/>
                <w:sz w:val="24"/>
                <w:lang w:val="en-US" w:eastAsia="zh-CN"/>
              </w:rPr>
            </w:pPr>
            <w:r>
              <w:rPr>
                <w:rFonts w:hint="eastAsia" w:cs="Times New Roman"/>
                <w:color w:val="auto"/>
                <w:sz w:val="24"/>
                <w:lang w:val="en-US" w:eastAsia="zh-CN"/>
              </w:rPr>
              <w:t>5.2</w:t>
            </w:r>
          </w:p>
        </w:tc>
        <w:tc>
          <w:tcPr>
            <w:tcW w:w="853" w:type="dxa"/>
            <w:vAlign w:val="center"/>
          </w:tcPr>
          <w:p>
            <w:pPr>
              <w:widowControl/>
              <w:spacing w:line="240" w:lineRule="auto"/>
              <w:ind w:firstLine="0" w:firstLineChars="0"/>
              <w:jc w:val="center"/>
              <w:rPr>
                <w:rFonts w:hint="default" w:eastAsia="仿宋" w:cs="Times New Roman"/>
                <w:color w:val="auto"/>
                <w:sz w:val="24"/>
                <w:lang w:val="en-US" w:eastAsia="zh-CN"/>
              </w:rPr>
            </w:pPr>
            <w:r>
              <w:rPr>
                <w:rFonts w:hint="eastAsia" w:cs="Times New Roman"/>
                <w:color w:val="auto"/>
                <w:sz w:val="24"/>
                <w:lang w:val="en-US" w:eastAsia="zh-CN"/>
              </w:rP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dxa"/>
            <w:vAlign w:val="center"/>
          </w:tcPr>
          <w:p>
            <w:pPr>
              <w:widowControl/>
              <w:spacing w:line="240" w:lineRule="auto"/>
              <w:ind w:firstLine="0" w:firstLineChars="0"/>
              <w:jc w:val="center"/>
              <w:rPr>
                <w:rFonts w:hint="eastAsia" w:eastAsia="仿宋" w:cs="Times New Roman"/>
                <w:color w:val="auto"/>
                <w:sz w:val="24"/>
                <w:lang w:val="en-US" w:eastAsia="zh-CN"/>
              </w:rPr>
            </w:pPr>
            <w:r>
              <w:rPr>
                <w:rFonts w:hint="eastAsia" w:cs="Times New Roman"/>
                <w:color w:val="auto"/>
                <w:sz w:val="24"/>
                <w:lang w:val="en-US" w:eastAsia="zh-CN"/>
              </w:rPr>
              <w:t>3</w:t>
            </w:r>
          </w:p>
        </w:tc>
        <w:tc>
          <w:tcPr>
            <w:tcW w:w="1062" w:type="dxa"/>
            <w:vAlign w:val="center"/>
          </w:tcPr>
          <w:p>
            <w:pPr>
              <w:widowControl/>
              <w:spacing w:line="240" w:lineRule="auto"/>
              <w:ind w:firstLine="0" w:firstLineChars="0"/>
              <w:jc w:val="center"/>
              <w:rPr>
                <w:rFonts w:hint="default" w:eastAsia="仿宋" w:cs="Times New Roman"/>
                <w:color w:val="auto"/>
                <w:sz w:val="24"/>
                <w:lang w:val="en-US" w:eastAsia="zh-CN"/>
              </w:rPr>
            </w:pPr>
            <w:r>
              <w:rPr>
                <w:rFonts w:hint="eastAsia" w:cs="Times New Roman"/>
                <w:color w:val="auto"/>
                <w:sz w:val="24"/>
                <w:lang w:val="en-US" w:eastAsia="zh-CN"/>
              </w:rPr>
              <w:t>高锰酸盐指数</w:t>
            </w:r>
          </w:p>
        </w:tc>
        <w:tc>
          <w:tcPr>
            <w:tcW w:w="863" w:type="dxa"/>
            <w:vAlign w:val="center"/>
          </w:tcPr>
          <w:p>
            <w:pPr>
              <w:widowControl/>
              <w:spacing w:line="240" w:lineRule="auto"/>
              <w:ind w:firstLine="0" w:firstLineChars="0"/>
              <w:jc w:val="center"/>
              <w:rPr>
                <w:rFonts w:hint="default" w:eastAsia="仿宋" w:cs="Times New Roman"/>
                <w:color w:val="auto"/>
                <w:sz w:val="24"/>
                <w:lang w:val="en-US" w:eastAsia="zh-CN"/>
              </w:rPr>
            </w:pPr>
            <w:r>
              <w:rPr>
                <w:rFonts w:hint="eastAsia" w:cs="Times New Roman"/>
                <w:color w:val="auto"/>
                <w:sz w:val="24"/>
                <w:lang w:val="en-US" w:eastAsia="zh-CN"/>
              </w:rPr>
              <w:t>2.5</w:t>
            </w:r>
          </w:p>
        </w:tc>
        <w:tc>
          <w:tcPr>
            <w:tcW w:w="825" w:type="dxa"/>
            <w:vAlign w:val="center"/>
          </w:tcPr>
          <w:p>
            <w:pPr>
              <w:widowControl/>
              <w:spacing w:line="240" w:lineRule="auto"/>
              <w:ind w:firstLine="0" w:firstLineChars="0"/>
              <w:jc w:val="center"/>
              <w:rPr>
                <w:rFonts w:hint="default" w:eastAsia="仿宋" w:cs="Times New Roman"/>
                <w:color w:val="auto"/>
                <w:sz w:val="24"/>
                <w:lang w:val="en-US" w:eastAsia="zh-CN"/>
              </w:rPr>
            </w:pPr>
            <w:r>
              <w:rPr>
                <w:rFonts w:hint="eastAsia" w:cs="Times New Roman"/>
                <w:color w:val="auto"/>
                <w:sz w:val="24"/>
                <w:lang w:val="en-US" w:eastAsia="zh-CN"/>
              </w:rPr>
              <w:t>2.1</w:t>
            </w:r>
          </w:p>
        </w:tc>
        <w:tc>
          <w:tcPr>
            <w:tcW w:w="887" w:type="dxa"/>
            <w:vAlign w:val="center"/>
          </w:tcPr>
          <w:p>
            <w:pPr>
              <w:widowControl/>
              <w:spacing w:line="240" w:lineRule="auto"/>
              <w:ind w:firstLine="0" w:firstLineChars="0"/>
              <w:jc w:val="center"/>
              <w:rPr>
                <w:rFonts w:hint="default" w:eastAsia="仿宋" w:cs="Times New Roman"/>
                <w:color w:val="auto"/>
                <w:sz w:val="24"/>
                <w:lang w:val="en-US" w:eastAsia="zh-CN"/>
              </w:rPr>
            </w:pPr>
            <w:r>
              <w:rPr>
                <w:rFonts w:hint="eastAsia" w:cs="Times New Roman"/>
                <w:color w:val="auto"/>
                <w:sz w:val="24"/>
                <w:lang w:val="en-US" w:eastAsia="zh-CN"/>
              </w:rPr>
              <w:t>4.2</w:t>
            </w:r>
          </w:p>
        </w:tc>
        <w:tc>
          <w:tcPr>
            <w:tcW w:w="913" w:type="dxa"/>
            <w:vAlign w:val="center"/>
          </w:tcPr>
          <w:p>
            <w:pPr>
              <w:widowControl/>
              <w:spacing w:line="240" w:lineRule="auto"/>
              <w:ind w:firstLine="0" w:firstLineChars="0"/>
              <w:jc w:val="center"/>
              <w:rPr>
                <w:rFonts w:hint="default" w:eastAsia="仿宋" w:cs="Times New Roman"/>
                <w:color w:val="auto"/>
                <w:sz w:val="24"/>
                <w:lang w:val="en-US" w:eastAsia="zh-CN"/>
              </w:rPr>
            </w:pPr>
            <w:r>
              <w:rPr>
                <w:rFonts w:hint="eastAsia" w:cs="Times New Roman"/>
                <w:color w:val="auto"/>
                <w:sz w:val="24"/>
                <w:lang w:val="en-US" w:eastAsia="zh-CN"/>
              </w:rPr>
              <w:t>3.4</w:t>
            </w:r>
          </w:p>
        </w:tc>
        <w:tc>
          <w:tcPr>
            <w:tcW w:w="862" w:type="dxa"/>
            <w:vAlign w:val="center"/>
          </w:tcPr>
          <w:p>
            <w:pPr>
              <w:widowControl/>
              <w:spacing w:line="240" w:lineRule="auto"/>
              <w:ind w:firstLine="0" w:firstLineChars="0"/>
              <w:jc w:val="center"/>
              <w:rPr>
                <w:rFonts w:hint="default" w:eastAsia="仿宋" w:cs="Times New Roman"/>
                <w:color w:val="auto"/>
                <w:sz w:val="24"/>
                <w:lang w:val="en-US" w:eastAsia="zh-CN"/>
              </w:rPr>
            </w:pPr>
            <w:r>
              <w:rPr>
                <w:rFonts w:hint="eastAsia" w:cs="Times New Roman"/>
                <w:color w:val="auto"/>
                <w:sz w:val="24"/>
                <w:lang w:val="en-US" w:eastAsia="zh-CN"/>
              </w:rPr>
              <w:t>5.1</w:t>
            </w:r>
          </w:p>
        </w:tc>
        <w:tc>
          <w:tcPr>
            <w:tcW w:w="900" w:type="dxa"/>
            <w:vAlign w:val="center"/>
          </w:tcPr>
          <w:p>
            <w:pPr>
              <w:widowControl/>
              <w:spacing w:line="240" w:lineRule="auto"/>
              <w:ind w:firstLine="0" w:firstLineChars="0"/>
              <w:jc w:val="center"/>
              <w:rPr>
                <w:rFonts w:hint="default" w:eastAsia="仿宋" w:cs="Times New Roman"/>
                <w:color w:val="auto"/>
                <w:sz w:val="24"/>
                <w:lang w:val="en-US" w:eastAsia="zh-CN"/>
              </w:rPr>
            </w:pPr>
            <w:r>
              <w:rPr>
                <w:rFonts w:hint="eastAsia" w:cs="Times New Roman"/>
                <w:color w:val="auto"/>
                <w:sz w:val="24"/>
                <w:lang w:val="en-US" w:eastAsia="zh-CN"/>
              </w:rPr>
              <w:t>5.0</w:t>
            </w:r>
          </w:p>
        </w:tc>
        <w:tc>
          <w:tcPr>
            <w:tcW w:w="857" w:type="dxa"/>
            <w:vAlign w:val="center"/>
          </w:tcPr>
          <w:p>
            <w:pPr>
              <w:widowControl/>
              <w:spacing w:line="240" w:lineRule="auto"/>
              <w:ind w:firstLine="0" w:firstLineChars="0"/>
              <w:jc w:val="center"/>
              <w:rPr>
                <w:rFonts w:hint="default" w:eastAsia="仿宋" w:cs="Times New Roman"/>
                <w:color w:val="auto"/>
                <w:sz w:val="24"/>
                <w:lang w:val="en-US" w:eastAsia="zh-CN"/>
              </w:rPr>
            </w:pPr>
            <w:r>
              <w:rPr>
                <w:rFonts w:hint="eastAsia" w:cs="Times New Roman"/>
                <w:color w:val="auto"/>
                <w:sz w:val="24"/>
                <w:lang w:val="en-US" w:eastAsia="zh-CN"/>
              </w:rPr>
              <w:t>5.7</w:t>
            </w:r>
          </w:p>
        </w:tc>
        <w:tc>
          <w:tcPr>
            <w:tcW w:w="853" w:type="dxa"/>
            <w:vAlign w:val="center"/>
          </w:tcPr>
          <w:p>
            <w:pPr>
              <w:widowControl/>
              <w:spacing w:line="240" w:lineRule="auto"/>
              <w:ind w:firstLine="0" w:firstLineChars="0"/>
              <w:jc w:val="center"/>
              <w:rPr>
                <w:rFonts w:hint="default" w:eastAsia="仿宋" w:cs="Times New Roman"/>
                <w:color w:val="auto"/>
                <w:sz w:val="24"/>
                <w:lang w:val="en-US" w:eastAsia="zh-CN"/>
              </w:rPr>
            </w:pPr>
            <w:r>
              <w:rPr>
                <w:rFonts w:hint="eastAsia" w:cs="Times New Roman"/>
                <w:color w:val="auto"/>
                <w:sz w:val="24"/>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dxa"/>
            <w:vAlign w:val="center"/>
          </w:tcPr>
          <w:p>
            <w:pPr>
              <w:widowControl/>
              <w:spacing w:line="240" w:lineRule="auto"/>
              <w:ind w:firstLine="0" w:firstLineChars="0"/>
              <w:jc w:val="center"/>
              <w:rPr>
                <w:rFonts w:hint="eastAsia" w:eastAsia="仿宋" w:cs="Times New Roman"/>
                <w:color w:val="auto"/>
                <w:sz w:val="24"/>
                <w:lang w:val="en-US" w:eastAsia="zh-CN"/>
              </w:rPr>
            </w:pPr>
            <w:r>
              <w:rPr>
                <w:rFonts w:hint="eastAsia" w:cs="Times New Roman"/>
                <w:color w:val="auto"/>
                <w:sz w:val="24"/>
                <w:lang w:val="en-US" w:eastAsia="zh-CN"/>
              </w:rPr>
              <w:t>4</w:t>
            </w:r>
          </w:p>
        </w:tc>
        <w:tc>
          <w:tcPr>
            <w:tcW w:w="1062" w:type="dxa"/>
            <w:vAlign w:val="center"/>
          </w:tcPr>
          <w:p>
            <w:pPr>
              <w:widowControl/>
              <w:spacing w:line="240" w:lineRule="auto"/>
              <w:ind w:firstLine="0" w:firstLineChars="0"/>
              <w:jc w:val="center"/>
              <w:rPr>
                <w:rFonts w:hint="default" w:eastAsia="仿宋" w:cs="Times New Roman"/>
                <w:color w:val="auto"/>
                <w:sz w:val="24"/>
                <w:lang w:val="en-US" w:eastAsia="zh-CN"/>
              </w:rPr>
            </w:pPr>
            <w:r>
              <w:rPr>
                <w:rFonts w:hint="eastAsia" w:cs="Times New Roman"/>
                <w:color w:val="auto"/>
                <w:sz w:val="24"/>
                <w:lang w:val="en-US" w:eastAsia="zh-CN"/>
              </w:rPr>
              <w:t>COD</w:t>
            </w:r>
          </w:p>
        </w:tc>
        <w:tc>
          <w:tcPr>
            <w:tcW w:w="863" w:type="dxa"/>
            <w:vAlign w:val="center"/>
          </w:tcPr>
          <w:p>
            <w:pPr>
              <w:widowControl/>
              <w:spacing w:line="240" w:lineRule="auto"/>
              <w:ind w:firstLine="0" w:firstLineChars="0"/>
              <w:jc w:val="center"/>
              <w:rPr>
                <w:rFonts w:hint="default" w:eastAsia="仿宋" w:cs="Times New Roman"/>
                <w:color w:val="auto"/>
                <w:sz w:val="24"/>
                <w:lang w:val="en-US" w:eastAsia="zh-CN"/>
              </w:rPr>
            </w:pPr>
            <w:r>
              <w:rPr>
                <w:rFonts w:hint="eastAsia" w:cs="Times New Roman"/>
                <w:color w:val="auto"/>
                <w:sz w:val="24"/>
                <w:lang w:val="en-US" w:eastAsia="zh-CN"/>
              </w:rPr>
              <w:t>10</w:t>
            </w:r>
          </w:p>
        </w:tc>
        <w:tc>
          <w:tcPr>
            <w:tcW w:w="825" w:type="dxa"/>
            <w:vAlign w:val="center"/>
          </w:tcPr>
          <w:p>
            <w:pPr>
              <w:widowControl/>
              <w:spacing w:line="240" w:lineRule="auto"/>
              <w:ind w:firstLine="0" w:firstLineChars="0"/>
              <w:jc w:val="center"/>
              <w:rPr>
                <w:rFonts w:hint="default" w:eastAsia="仿宋" w:cs="Times New Roman"/>
                <w:color w:val="auto"/>
                <w:sz w:val="24"/>
                <w:lang w:val="en-US" w:eastAsia="zh-CN"/>
              </w:rPr>
            </w:pPr>
            <w:r>
              <w:rPr>
                <w:rFonts w:hint="eastAsia" w:cs="Times New Roman"/>
                <w:color w:val="auto"/>
                <w:sz w:val="24"/>
                <w:lang w:val="en-US" w:eastAsia="zh-CN"/>
              </w:rPr>
              <w:t>12</w:t>
            </w:r>
          </w:p>
        </w:tc>
        <w:tc>
          <w:tcPr>
            <w:tcW w:w="887" w:type="dxa"/>
            <w:vAlign w:val="center"/>
          </w:tcPr>
          <w:p>
            <w:pPr>
              <w:widowControl/>
              <w:spacing w:line="240" w:lineRule="auto"/>
              <w:ind w:firstLine="0" w:firstLineChars="0"/>
              <w:jc w:val="center"/>
              <w:rPr>
                <w:rFonts w:hint="default" w:eastAsia="仿宋" w:cs="Times New Roman"/>
                <w:color w:val="auto"/>
                <w:sz w:val="24"/>
                <w:lang w:val="en-US" w:eastAsia="zh-CN"/>
              </w:rPr>
            </w:pPr>
            <w:r>
              <w:rPr>
                <w:rFonts w:hint="eastAsia" w:cs="Times New Roman"/>
                <w:color w:val="auto"/>
                <w:sz w:val="24"/>
                <w:lang w:val="en-US" w:eastAsia="zh-CN"/>
              </w:rPr>
              <w:t>15</w:t>
            </w:r>
          </w:p>
        </w:tc>
        <w:tc>
          <w:tcPr>
            <w:tcW w:w="913" w:type="dxa"/>
            <w:vAlign w:val="center"/>
          </w:tcPr>
          <w:p>
            <w:pPr>
              <w:widowControl/>
              <w:spacing w:line="240" w:lineRule="auto"/>
              <w:ind w:firstLine="0" w:firstLineChars="0"/>
              <w:jc w:val="center"/>
              <w:rPr>
                <w:rFonts w:hint="eastAsia" w:eastAsia="仿宋" w:cs="Times New Roman"/>
                <w:color w:val="auto"/>
                <w:sz w:val="24"/>
                <w:lang w:val="en-US" w:eastAsia="zh-CN"/>
              </w:rPr>
            </w:pPr>
            <w:r>
              <w:rPr>
                <w:rFonts w:hint="eastAsia" w:cs="Times New Roman"/>
                <w:color w:val="auto"/>
                <w:sz w:val="24"/>
                <w:lang w:val="en-US" w:eastAsia="zh-CN"/>
              </w:rPr>
              <w:t>8</w:t>
            </w:r>
          </w:p>
        </w:tc>
        <w:tc>
          <w:tcPr>
            <w:tcW w:w="862" w:type="dxa"/>
            <w:vAlign w:val="center"/>
          </w:tcPr>
          <w:p>
            <w:pPr>
              <w:widowControl/>
              <w:spacing w:line="240" w:lineRule="auto"/>
              <w:ind w:firstLine="0" w:firstLineChars="0"/>
              <w:jc w:val="center"/>
              <w:rPr>
                <w:rFonts w:hint="default" w:eastAsia="仿宋" w:cs="Times New Roman"/>
                <w:color w:val="auto"/>
                <w:sz w:val="24"/>
                <w:lang w:val="en-US" w:eastAsia="zh-CN"/>
              </w:rPr>
            </w:pPr>
            <w:r>
              <w:rPr>
                <w:rFonts w:hint="eastAsia" w:cs="Times New Roman"/>
                <w:color w:val="auto"/>
                <w:sz w:val="24"/>
                <w:lang w:val="en-US" w:eastAsia="zh-CN"/>
              </w:rPr>
              <w:t>20</w:t>
            </w:r>
          </w:p>
        </w:tc>
        <w:tc>
          <w:tcPr>
            <w:tcW w:w="900" w:type="dxa"/>
            <w:vAlign w:val="center"/>
          </w:tcPr>
          <w:p>
            <w:pPr>
              <w:widowControl/>
              <w:spacing w:line="240" w:lineRule="auto"/>
              <w:ind w:firstLine="0" w:firstLineChars="0"/>
              <w:jc w:val="center"/>
              <w:rPr>
                <w:rFonts w:hint="default" w:eastAsia="仿宋" w:cs="Times New Roman"/>
                <w:color w:val="auto"/>
                <w:sz w:val="24"/>
                <w:lang w:val="en-US" w:eastAsia="zh-CN"/>
              </w:rPr>
            </w:pPr>
            <w:r>
              <w:rPr>
                <w:rFonts w:hint="eastAsia" w:cs="Times New Roman"/>
                <w:color w:val="auto"/>
                <w:sz w:val="24"/>
                <w:lang w:val="en-US" w:eastAsia="zh-CN"/>
              </w:rPr>
              <w:t>18</w:t>
            </w:r>
          </w:p>
        </w:tc>
        <w:tc>
          <w:tcPr>
            <w:tcW w:w="857" w:type="dxa"/>
            <w:vAlign w:val="center"/>
          </w:tcPr>
          <w:p>
            <w:pPr>
              <w:widowControl/>
              <w:spacing w:line="240" w:lineRule="auto"/>
              <w:ind w:firstLine="0" w:firstLineChars="0"/>
              <w:jc w:val="center"/>
              <w:rPr>
                <w:rFonts w:hint="default" w:eastAsia="仿宋" w:cs="Times New Roman"/>
                <w:color w:val="auto"/>
                <w:sz w:val="24"/>
                <w:lang w:val="en-US" w:eastAsia="zh-CN"/>
              </w:rPr>
            </w:pPr>
            <w:r>
              <w:rPr>
                <w:rFonts w:hint="eastAsia" w:cs="Times New Roman"/>
                <w:color w:val="auto"/>
                <w:sz w:val="24"/>
                <w:lang w:val="en-US" w:eastAsia="zh-CN"/>
              </w:rPr>
              <w:t>20</w:t>
            </w:r>
          </w:p>
        </w:tc>
        <w:tc>
          <w:tcPr>
            <w:tcW w:w="853" w:type="dxa"/>
            <w:vAlign w:val="center"/>
          </w:tcPr>
          <w:p>
            <w:pPr>
              <w:widowControl/>
              <w:spacing w:line="240" w:lineRule="auto"/>
              <w:ind w:firstLine="0" w:firstLineChars="0"/>
              <w:jc w:val="center"/>
              <w:rPr>
                <w:rFonts w:hint="default" w:eastAsia="仿宋" w:cs="Times New Roman"/>
                <w:color w:val="auto"/>
                <w:sz w:val="24"/>
                <w:lang w:val="en-US" w:eastAsia="zh-CN"/>
              </w:rPr>
            </w:pPr>
            <w:r>
              <w:rPr>
                <w:rFonts w:hint="eastAsia" w:cs="Times New Roman"/>
                <w:color w:val="auto"/>
                <w:sz w:val="24"/>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dxa"/>
            <w:vAlign w:val="center"/>
          </w:tcPr>
          <w:p>
            <w:pPr>
              <w:widowControl/>
              <w:spacing w:line="240" w:lineRule="auto"/>
              <w:ind w:firstLine="0" w:firstLineChars="0"/>
              <w:jc w:val="center"/>
              <w:rPr>
                <w:rFonts w:hint="default" w:cs="Times New Roman"/>
                <w:color w:val="auto"/>
                <w:sz w:val="24"/>
                <w:lang w:val="en-US" w:eastAsia="zh-CN"/>
              </w:rPr>
            </w:pPr>
            <w:r>
              <w:rPr>
                <w:rFonts w:hint="eastAsia" w:cs="Times New Roman"/>
                <w:color w:val="auto"/>
                <w:sz w:val="24"/>
                <w:lang w:val="en-US" w:eastAsia="zh-CN"/>
              </w:rPr>
              <w:t>5</w:t>
            </w:r>
          </w:p>
        </w:tc>
        <w:tc>
          <w:tcPr>
            <w:tcW w:w="1062" w:type="dxa"/>
            <w:vAlign w:val="center"/>
          </w:tcPr>
          <w:p>
            <w:pPr>
              <w:widowControl/>
              <w:spacing w:line="240" w:lineRule="auto"/>
              <w:ind w:firstLine="0" w:firstLineChars="0"/>
              <w:jc w:val="center"/>
              <w:rPr>
                <w:rFonts w:hint="default" w:cs="Times New Roman"/>
                <w:color w:val="auto"/>
                <w:sz w:val="24"/>
                <w:lang w:val="en-US" w:eastAsia="zh-CN"/>
              </w:rPr>
            </w:pPr>
            <w:r>
              <w:rPr>
                <w:rFonts w:hint="eastAsia" w:cs="Times New Roman"/>
                <w:color w:val="auto"/>
                <w:sz w:val="24"/>
                <w:lang w:val="en-US" w:eastAsia="zh-CN"/>
              </w:rPr>
              <w:t>BOD</w:t>
            </w:r>
            <w:r>
              <w:rPr>
                <w:rFonts w:hint="eastAsia" w:cs="Times New Roman"/>
                <w:color w:val="auto"/>
                <w:sz w:val="24"/>
                <w:vertAlign w:val="subscript"/>
                <w:lang w:val="en-US" w:eastAsia="zh-CN"/>
              </w:rPr>
              <w:t>5</w:t>
            </w:r>
          </w:p>
        </w:tc>
        <w:tc>
          <w:tcPr>
            <w:tcW w:w="863" w:type="dxa"/>
            <w:vAlign w:val="center"/>
          </w:tcPr>
          <w:p>
            <w:pPr>
              <w:widowControl/>
              <w:spacing w:line="240" w:lineRule="auto"/>
              <w:ind w:firstLine="0" w:firstLineChars="0"/>
              <w:jc w:val="center"/>
              <w:rPr>
                <w:rFonts w:hint="default" w:eastAsia="仿宋" w:cs="Times New Roman"/>
                <w:color w:val="auto"/>
                <w:sz w:val="24"/>
                <w:lang w:val="en-US" w:eastAsia="zh-CN"/>
              </w:rPr>
            </w:pPr>
            <w:r>
              <w:rPr>
                <w:rFonts w:hint="eastAsia" w:cs="Times New Roman"/>
                <w:color w:val="auto"/>
                <w:sz w:val="24"/>
                <w:lang w:val="en-US" w:eastAsia="zh-CN"/>
              </w:rPr>
              <w:t>2.4</w:t>
            </w:r>
          </w:p>
        </w:tc>
        <w:tc>
          <w:tcPr>
            <w:tcW w:w="825" w:type="dxa"/>
            <w:vAlign w:val="center"/>
          </w:tcPr>
          <w:p>
            <w:pPr>
              <w:widowControl/>
              <w:spacing w:line="240" w:lineRule="auto"/>
              <w:ind w:firstLine="0" w:firstLineChars="0"/>
              <w:jc w:val="center"/>
              <w:rPr>
                <w:rFonts w:hint="default" w:eastAsia="仿宋" w:cs="Times New Roman"/>
                <w:color w:val="auto"/>
                <w:sz w:val="24"/>
                <w:lang w:val="en-US" w:eastAsia="zh-CN"/>
              </w:rPr>
            </w:pPr>
            <w:r>
              <w:rPr>
                <w:rFonts w:hint="eastAsia" w:cs="Times New Roman"/>
                <w:color w:val="auto"/>
                <w:sz w:val="24"/>
                <w:lang w:val="en-US" w:eastAsia="zh-CN"/>
              </w:rPr>
              <w:t>2.6</w:t>
            </w:r>
          </w:p>
        </w:tc>
        <w:tc>
          <w:tcPr>
            <w:tcW w:w="887" w:type="dxa"/>
            <w:vAlign w:val="center"/>
          </w:tcPr>
          <w:p>
            <w:pPr>
              <w:widowControl/>
              <w:spacing w:line="240" w:lineRule="auto"/>
              <w:ind w:firstLine="0" w:firstLineChars="0"/>
              <w:jc w:val="center"/>
              <w:rPr>
                <w:rFonts w:hint="default" w:eastAsia="仿宋" w:cs="Times New Roman"/>
                <w:color w:val="auto"/>
                <w:sz w:val="24"/>
                <w:lang w:val="en-US" w:eastAsia="zh-CN"/>
              </w:rPr>
            </w:pPr>
            <w:r>
              <w:rPr>
                <w:rFonts w:hint="eastAsia" w:cs="Times New Roman"/>
                <w:color w:val="auto"/>
                <w:sz w:val="24"/>
                <w:lang w:val="en-US" w:eastAsia="zh-CN"/>
              </w:rPr>
              <w:t>3.0</w:t>
            </w:r>
          </w:p>
        </w:tc>
        <w:tc>
          <w:tcPr>
            <w:tcW w:w="913" w:type="dxa"/>
            <w:vAlign w:val="center"/>
          </w:tcPr>
          <w:p>
            <w:pPr>
              <w:widowControl/>
              <w:spacing w:line="240" w:lineRule="auto"/>
              <w:ind w:firstLine="0" w:firstLineChars="0"/>
              <w:jc w:val="center"/>
              <w:rPr>
                <w:rFonts w:hint="default" w:eastAsia="仿宋" w:cs="Times New Roman"/>
                <w:color w:val="auto"/>
                <w:sz w:val="24"/>
                <w:lang w:val="en-US" w:eastAsia="zh-CN"/>
              </w:rPr>
            </w:pPr>
            <w:r>
              <w:rPr>
                <w:rFonts w:hint="eastAsia" w:cs="Times New Roman"/>
                <w:color w:val="auto"/>
                <w:sz w:val="24"/>
                <w:lang w:val="en-US" w:eastAsia="zh-CN"/>
              </w:rPr>
              <w:t>1.6</w:t>
            </w:r>
          </w:p>
        </w:tc>
        <w:tc>
          <w:tcPr>
            <w:tcW w:w="862" w:type="dxa"/>
            <w:vAlign w:val="center"/>
          </w:tcPr>
          <w:p>
            <w:pPr>
              <w:widowControl/>
              <w:spacing w:line="240" w:lineRule="auto"/>
              <w:ind w:firstLine="0" w:firstLineChars="0"/>
              <w:jc w:val="center"/>
              <w:rPr>
                <w:rFonts w:hint="default" w:eastAsia="仿宋" w:cs="Times New Roman"/>
                <w:color w:val="auto"/>
                <w:sz w:val="24"/>
                <w:lang w:val="en-US" w:eastAsia="zh-CN"/>
              </w:rPr>
            </w:pPr>
            <w:r>
              <w:rPr>
                <w:rFonts w:hint="eastAsia" w:cs="Times New Roman"/>
                <w:color w:val="auto"/>
                <w:sz w:val="24"/>
                <w:lang w:val="en-US" w:eastAsia="zh-CN"/>
              </w:rPr>
              <w:t>4.0</w:t>
            </w:r>
          </w:p>
        </w:tc>
        <w:tc>
          <w:tcPr>
            <w:tcW w:w="900" w:type="dxa"/>
            <w:vAlign w:val="center"/>
          </w:tcPr>
          <w:p>
            <w:pPr>
              <w:widowControl/>
              <w:spacing w:line="240" w:lineRule="auto"/>
              <w:ind w:firstLine="0" w:firstLineChars="0"/>
              <w:jc w:val="center"/>
              <w:rPr>
                <w:rFonts w:hint="default" w:eastAsia="仿宋" w:cs="Times New Roman"/>
                <w:color w:val="auto"/>
                <w:sz w:val="24"/>
                <w:lang w:val="en-US" w:eastAsia="zh-CN"/>
              </w:rPr>
            </w:pPr>
            <w:r>
              <w:rPr>
                <w:rFonts w:hint="eastAsia" w:cs="Times New Roman"/>
                <w:color w:val="auto"/>
                <w:sz w:val="24"/>
                <w:lang w:val="en-US" w:eastAsia="zh-CN"/>
              </w:rPr>
              <w:t>3.6</w:t>
            </w:r>
          </w:p>
        </w:tc>
        <w:tc>
          <w:tcPr>
            <w:tcW w:w="857" w:type="dxa"/>
            <w:vAlign w:val="center"/>
          </w:tcPr>
          <w:p>
            <w:pPr>
              <w:widowControl/>
              <w:spacing w:line="240" w:lineRule="auto"/>
              <w:ind w:firstLine="0" w:firstLineChars="0"/>
              <w:jc w:val="center"/>
              <w:rPr>
                <w:rFonts w:hint="default" w:eastAsia="仿宋" w:cs="Times New Roman"/>
                <w:color w:val="auto"/>
                <w:sz w:val="24"/>
                <w:lang w:val="en-US" w:eastAsia="zh-CN"/>
              </w:rPr>
            </w:pPr>
            <w:r>
              <w:rPr>
                <w:rFonts w:hint="eastAsia" w:cs="Times New Roman"/>
                <w:color w:val="auto"/>
                <w:sz w:val="24"/>
                <w:lang w:val="en-US" w:eastAsia="zh-CN"/>
              </w:rPr>
              <w:t>4.0</w:t>
            </w:r>
          </w:p>
        </w:tc>
        <w:tc>
          <w:tcPr>
            <w:tcW w:w="853" w:type="dxa"/>
            <w:vAlign w:val="center"/>
          </w:tcPr>
          <w:p>
            <w:pPr>
              <w:widowControl/>
              <w:spacing w:line="240" w:lineRule="auto"/>
              <w:ind w:firstLine="0" w:firstLineChars="0"/>
              <w:jc w:val="center"/>
              <w:rPr>
                <w:rFonts w:hint="default" w:eastAsia="仿宋" w:cs="Times New Roman"/>
                <w:color w:val="auto"/>
                <w:sz w:val="24"/>
                <w:lang w:val="en-US" w:eastAsia="zh-CN"/>
              </w:rPr>
            </w:pPr>
            <w:r>
              <w:rPr>
                <w:rFonts w:hint="eastAsia" w:cs="Times New Roman"/>
                <w:color w:val="auto"/>
                <w:sz w:val="24"/>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dxa"/>
            <w:vAlign w:val="center"/>
          </w:tcPr>
          <w:p>
            <w:pPr>
              <w:widowControl/>
              <w:spacing w:line="240" w:lineRule="auto"/>
              <w:ind w:firstLine="0" w:firstLineChars="0"/>
              <w:jc w:val="center"/>
              <w:rPr>
                <w:rFonts w:hint="default" w:cs="Times New Roman"/>
                <w:color w:val="auto"/>
                <w:sz w:val="24"/>
                <w:lang w:val="en-US" w:eastAsia="zh-CN"/>
              </w:rPr>
            </w:pPr>
            <w:r>
              <w:rPr>
                <w:rFonts w:hint="eastAsia" w:cs="Times New Roman"/>
                <w:color w:val="auto"/>
                <w:sz w:val="24"/>
                <w:lang w:val="en-US" w:eastAsia="zh-CN"/>
              </w:rPr>
              <w:t>6</w:t>
            </w:r>
          </w:p>
        </w:tc>
        <w:tc>
          <w:tcPr>
            <w:tcW w:w="1062" w:type="dxa"/>
            <w:vAlign w:val="center"/>
          </w:tcPr>
          <w:p>
            <w:pPr>
              <w:widowControl/>
              <w:spacing w:line="240" w:lineRule="auto"/>
              <w:ind w:firstLine="0" w:firstLineChars="0"/>
              <w:jc w:val="center"/>
              <w:rPr>
                <w:rFonts w:hint="default" w:cs="Times New Roman"/>
                <w:color w:val="auto"/>
                <w:sz w:val="24"/>
                <w:lang w:val="en-US" w:eastAsia="zh-CN"/>
              </w:rPr>
            </w:pPr>
            <w:r>
              <w:rPr>
                <w:rFonts w:hint="eastAsia" w:cs="Times New Roman"/>
                <w:color w:val="auto"/>
                <w:sz w:val="24"/>
                <w:lang w:val="en-US" w:eastAsia="zh-CN"/>
              </w:rPr>
              <w:t>氨氮</w:t>
            </w:r>
          </w:p>
        </w:tc>
        <w:tc>
          <w:tcPr>
            <w:tcW w:w="863" w:type="dxa"/>
            <w:vAlign w:val="center"/>
          </w:tcPr>
          <w:p>
            <w:pPr>
              <w:widowControl/>
              <w:spacing w:line="240" w:lineRule="auto"/>
              <w:ind w:firstLine="0" w:firstLineChars="0"/>
              <w:jc w:val="center"/>
              <w:rPr>
                <w:rFonts w:hint="default" w:eastAsia="仿宋" w:cs="Times New Roman"/>
                <w:color w:val="auto"/>
                <w:sz w:val="24"/>
                <w:lang w:val="en-US" w:eastAsia="zh-CN"/>
              </w:rPr>
            </w:pPr>
            <w:r>
              <w:rPr>
                <w:rFonts w:hint="eastAsia" w:cs="Times New Roman"/>
                <w:color w:val="auto"/>
                <w:sz w:val="24"/>
                <w:lang w:val="en-US" w:eastAsia="zh-CN"/>
              </w:rPr>
              <w:t>0.193</w:t>
            </w:r>
          </w:p>
        </w:tc>
        <w:tc>
          <w:tcPr>
            <w:tcW w:w="825" w:type="dxa"/>
            <w:vAlign w:val="center"/>
          </w:tcPr>
          <w:p>
            <w:pPr>
              <w:widowControl/>
              <w:spacing w:line="240" w:lineRule="auto"/>
              <w:ind w:firstLine="0" w:firstLineChars="0"/>
              <w:jc w:val="center"/>
              <w:rPr>
                <w:rFonts w:hint="default" w:eastAsia="仿宋" w:cs="Times New Roman"/>
                <w:color w:val="auto"/>
                <w:sz w:val="24"/>
                <w:lang w:val="en-US" w:eastAsia="zh-CN"/>
              </w:rPr>
            </w:pPr>
            <w:r>
              <w:rPr>
                <w:rFonts w:hint="eastAsia" w:cs="Times New Roman"/>
                <w:color w:val="auto"/>
                <w:sz w:val="24"/>
                <w:lang w:val="en-US" w:eastAsia="zh-CN"/>
              </w:rPr>
              <w:t>0.048</w:t>
            </w:r>
          </w:p>
        </w:tc>
        <w:tc>
          <w:tcPr>
            <w:tcW w:w="887" w:type="dxa"/>
            <w:vAlign w:val="center"/>
          </w:tcPr>
          <w:p>
            <w:pPr>
              <w:widowControl/>
              <w:spacing w:line="240" w:lineRule="auto"/>
              <w:ind w:firstLine="0" w:firstLineChars="0"/>
              <w:jc w:val="center"/>
              <w:rPr>
                <w:rFonts w:hint="default" w:eastAsia="仿宋" w:cs="Times New Roman"/>
                <w:color w:val="auto"/>
                <w:sz w:val="24"/>
                <w:lang w:val="en-US" w:eastAsia="zh-CN"/>
              </w:rPr>
            </w:pPr>
            <w:r>
              <w:rPr>
                <w:rFonts w:hint="eastAsia" w:cs="Times New Roman"/>
                <w:color w:val="auto"/>
                <w:sz w:val="24"/>
                <w:lang w:val="en-US" w:eastAsia="zh-CN"/>
              </w:rPr>
              <w:t>0.096</w:t>
            </w:r>
          </w:p>
        </w:tc>
        <w:tc>
          <w:tcPr>
            <w:tcW w:w="913" w:type="dxa"/>
            <w:vAlign w:val="center"/>
          </w:tcPr>
          <w:p>
            <w:pPr>
              <w:widowControl/>
              <w:spacing w:line="240" w:lineRule="auto"/>
              <w:ind w:firstLine="0" w:firstLineChars="0"/>
              <w:jc w:val="center"/>
              <w:rPr>
                <w:rFonts w:hint="default" w:eastAsia="仿宋" w:cs="Times New Roman"/>
                <w:color w:val="auto"/>
                <w:sz w:val="24"/>
                <w:lang w:val="en-US" w:eastAsia="zh-CN"/>
              </w:rPr>
            </w:pPr>
            <w:r>
              <w:rPr>
                <w:rFonts w:hint="eastAsia" w:cs="Times New Roman"/>
                <w:color w:val="auto"/>
                <w:sz w:val="24"/>
                <w:lang w:val="en-US" w:eastAsia="zh-CN"/>
              </w:rPr>
              <w:t>0.088</w:t>
            </w:r>
          </w:p>
        </w:tc>
        <w:tc>
          <w:tcPr>
            <w:tcW w:w="862" w:type="dxa"/>
            <w:vAlign w:val="center"/>
          </w:tcPr>
          <w:p>
            <w:pPr>
              <w:widowControl/>
              <w:spacing w:line="240" w:lineRule="auto"/>
              <w:ind w:firstLine="0" w:firstLineChars="0"/>
              <w:jc w:val="center"/>
              <w:rPr>
                <w:rFonts w:hint="default" w:eastAsia="仿宋" w:cs="Times New Roman"/>
                <w:color w:val="auto"/>
                <w:sz w:val="24"/>
                <w:lang w:val="en-US" w:eastAsia="zh-CN"/>
              </w:rPr>
            </w:pPr>
            <w:r>
              <w:rPr>
                <w:rFonts w:hint="eastAsia" w:cs="Times New Roman"/>
                <w:color w:val="auto"/>
                <w:sz w:val="24"/>
                <w:lang w:val="en-US" w:eastAsia="zh-CN"/>
              </w:rPr>
              <w:t>0.583</w:t>
            </w:r>
          </w:p>
        </w:tc>
        <w:tc>
          <w:tcPr>
            <w:tcW w:w="900" w:type="dxa"/>
            <w:vAlign w:val="center"/>
          </w:tcPr>
          <w:p>
            <w:pPr>
              <w:widowControl/>
              <w:spacing w:line="240" w:lineRule="auto"/>
              <w:ind w:firstLine="0" w:firstLineChars="0"/>
              <w:jc w:val="center"/>
              <w:rPr>
                <w:rFonts w:hint="default" w:eastAsia="仿宋" w:cs="Times New Roman"/>
                <w:color w:val="auto"/>
                <w:sz w:val="24"/>
                <w:lang w:val="en-US" w:eastAsia="zh-CN"/>
              </w:rPr>
            </w:pPr>
            <w:r>
              <w:rPr>
                <w:rFonts w:hint="eastAsia" w:cs="Times New Roman"/>
                <w:color w:val="auto"/>
                <w:sz w:val="24"/>
                <w:lang w:val="en-US" w:eastAsia="zh-CN"/>
              </w:rPr>
              <w:t>0.556</w:t>
            </w:r>
          </w:p>
        </w:tc>
        <w:tc>
          <w:tcPr>
            <w:tcW w:w="857" w:type="dxa"/>
            <w:vAlign w:val="center"/>
          </w:tcPr>
          <w:p>
            <w:pPr>
              <w:widowControl/>
              <w:spacing w:line="240" w:lineRule="auto"/>
              <w:ind w:firstLine="0" w:firstLineChars="0"/>
              <w:jc w:val="center"/>
              <w:rPr>
                <w:rFonts w:hint="default" w:eastAsia="仿宋" w:cs="Times New Roman"/>
                <w:color w:val="auto"/>
                <w:sz w:val="24"/>
                <w:lang w:val="en-US" w:eastAsia="zh-CN"/>
              </w:rPr>
            </w:pPr>
            <w:r>
              <w:rPr>
                <w:rFonts w:hint="eastAsia" w:cs="Times New Roman"/>
                <w:color w:val="auto"/>
                <w:sz w:val="24"/>
                <w:lang w:val="en-US" w:eastAsia="zh-CN"/>
              </w:rPr>
              <w:t>0.851</w:t>
            </w:r>
          </w:p>
        </w:tc>
        <w:tc>
          <w:tcPr>
            <w:tcW w:w="853" w:type="dxa"/>
            <w:vAlign w:val="center"/>
          </w:tcPr>
          <w:p>
            <w:pPr>
              <w:widowControl/>
              <w:spacing w:line="240" w:lineRule="auto"/>
              <w:ind w:firstLine="0" w:firstLineChars="0"/>
              <w:jc w:val="center"/>
              <w:rPr>
                <w:rFonts w:hint="default" w:eastAsia="仿宋" w:cs="Times New Roman"/>
                <w:color w:val="auto"/>
                <w:sz w:val="24"/>
                <w:lang w:val="en-US" w:eastAsia="zh-CN"/>
              </w:rPr>
            </w:pPr>
            <w:r>
              <w:rPr>
                <w:rFonts w:hint="eastAsia" w:cs="Times New Roman"/>
                <w:color w:val="auto"/>
                <w:sz w:val="24"/>
                <w:lang w:val="en-US" w:eastAsia="zh-CN"/>
              </w:rPr>
              <w:t>0.867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dxa"/>
            <w:vAlign w:val="center"/>
          </w:tcPr>
          <w:p>
            <w:pPr>
              <w:widowControl/>
              <w:spacing w:line="240" w:lineRule="auto"/>
              <w:ind w:firstLine="0" w:firstLineChars="0"/>
              <w:jc w:val="center"/>
              <w:rPr>
                <w:rFonts w:hint="default" w:cs="Times New Roman"/>
                <w:color w:val="auto"/>
                <w:sz w:val="24"/>
                <w:lang w:val="en-US" w:eastAsia="zh-CN"/>
              </w:rPr>
            </w:pPr>
            <w:r>
              <w:rPr>
                <w:rFonts w:hint="eastAsia" w:cs="Times New Roman"/>
                <w:color w:val="auto"/>
                <w:sz w:val="24"/>
                <w:lang w:val="en-US" w:eastAsia="zh-CN"/>
              </w:rPr>
              <w:t>7</w:t>
            </w:r>
          </w:p>
        </w:tc>
        <w:tc>
          <w:tcPr>
            <w:tcW w:w="1062" w:type="dxa"/>
            <w:vAlign w:val="center"/>
          </w:tcPr>
          <w:p>
            <w:pPr>
              <w:widowControl/>
              <w:spacing w:line="240" w:lineRule="auto"/>
              <w:ind w:firstLine="0" w:firstLineChars="0"/>
              <w:jc w:val="center"/>
              <w:rPr>
                <w:rFonts w:hint="default" w:cs="Times New Roman"/>
                <w:color w:val="auto"/>
                <w:sz w:val="24"/>
                <w:lang w:val="en-US" w:eastAsia="zh-CN"/>
              </w:rPr>
            </w:pPr>
            <w:r>
              <w:rPr>
                <w:rFonts w:hint="eastAsia" w:cs="Times New Roman"/>
                <w:color w:val="auto"/>
                <w:sz w:val="24"/>
                <w:lang w:val="en-US" w:eastAsia="zh-CN"/>
              </w:rPr>
              <w:t>总磷</w:t>
            </w:r>
          </w:p>
        </w:tc>
        <w:tc>
          <w:tcPr>
            <w:tcW w:w="863" w:type="dxa"/>
            <w:vAlign w:val="center"/>
          </w:tcPr>
          <w:p>
            <w:pPr>
              <w:widowControl/>
              <w:spacing w:line="240" w:lineRule="auto"/>
              <w:ind w:firstLine="0" w:firstLineChars="0"/>
              <w:jc w:val="center"/>
              <w:rPr>
                <w:rFonts w:hint="default" w:eastAsia="仿宋" w:cs="Times New Roman"/>
                <w:color w:val="auto"/>
                <w:sz w:val="24"/>
                <w:lang w:val="en-US" w:eastAsia="zh-CN"/>
              </w:rPr>
            </w:pPr>
            <w:r>
              <w:rPr>
                <w:rFonts w:hint="eastAsia" w:cs="Times New Roman"/>
                <w:color w:val="auto"/>
                <w:sz w:val="24"/>
                <w:lang w:val="en-US" w:eastAsia="zh-CN"/>
              </w:rPr>
              <w:t>0.04</w:t>
            </w:r>
          </w:p>
        </w:tc>
        <w:tc>
          <w:tcPr>
            <w:tcW w:w="825" w:type="dxa"/>
            <w:vAlign w:val="center"/>
          </w:tcPr>
          <w:p>
            <w:pPr>
              <w:widowControl/>
              <w:spacing w:line="240" w:lineRule="auto"/>
              <w:ind w:firstLine="0" w:firstLineChars="0"/>
              <w:jc w:val="center"/>
              <w:rPr>
                <w:rFonts w:hint="default" w:eastAsia="仿宋" w:cs="Times New Roman"/>
                <w:color w:val="auto"/>
                <w:sz w:val="24"/>
                <w:lang w:val="en-US" w:eastAsia="zh-CN"/>
              </w:rPr>
            </w:pPr>
            <w:r>
              <w:rPr>
                <w:rFonts w:hint="eastAsia" w:cs="Times New Roman"/>
                <w:color w:val="auto"/>
                <w:sz w:val="24"/>
                <w:lang w:val="en-US" w:eastAsia="zh-CN"/>
              </w:rPr>
              <w:t>0.02</w:t>
            </w:r>
          </w:p>
        </w:tc>
        <w:tc>
          <w:tcPr>
            <w:tcW w:w="887" w:type="dxa"/>
            <w:vAlign w:val="center"/>
          </w:tcPr>
          <w:p>
            <w:pPr>
              <w:widowControl/>
              <w:spacing w:line="240" w:lineRule="auto"/>
              <w:ind w:firstLine="0" w:firstLineChars="0"/>
              <w:jc w:val="center"/>
              <w:rPr>
                <w:rFonts w:hint="default" w:eastAsia="仿宋" w:cs="Times New Roman"/>
                <w:color w:val="auto"/>
                <w:sz w:val="24"/>
                <w:lang w:val="en-US" w:eastAsia="zh-CN"/>
              </w:rPr>
            </w:pPr>
            <w:r>
              <w:rPr>
                <w:rFonts w:hint="eastAsia" w:cs="Times New Roman"/>
                <w:color w:val="auto"/>
                <w:sz w:val="24"/>
                <w:lang w:val="en-US" w:eastAsia="zh-CN"/>
              </w:rPr>
              <w:t>0.15</w:t>
            </w:r>
          </w:p>
        </w:tc>
        <w:tc>
          <w:tcPr>
            <w:tcW w:w="913" w:type="dxa"/>
            <w:vAlign w:val="center"/>
          </w:tcPr>
          <w:p>
            <w:pPr>
              <w:widowControl/>
              <w:spacing w:line="240" w:lineRule="auto"/>
              <w:ind w:firstLine="0" w:firstLineChars="0"/>
              <w:jc w:val="center"/>
              <w:rPr>
                <w:rFonts w:hint="default" w:eastAsia="仿宋" w:cs="Times New Roman"/>
                <w:color w:val="auto"/>
                <w:sz w:val="24"/>
                <w:lang w:val="en-US" w:eastAsia="zh-CN"/>
              </w:rPr>
            </w:pPr>
            <w:r>
              <w:rPr>
                <w:rFonts w:hint="eastAsia" w:cs="Times New Roman"/>
                <w:color w:val="auto"/>
                <w:sz w:val="24"/>
                <w:lang w:val="en-US" w:eastAsia="zh-CN"/>
              </w:rPr>
              <w:t>0.16</w:t>
            </w:r>
          </w:p>
        </w:tc>
        <w:tc>
          <w:tcPr>
            <w:tcW w:w="862" w:type="dxa"/>
            <w:vAlign w:val="center"/>
          </w:tcPr>
          <w:p>
            <w:pPr>
              <w:widowControl/>
              <w:spacing w:line="240" w:lineRule="auto"/>
              <w:ind w:firstLine="0" w:firstLineChars="0"/>
              <w:jc w:val="center"/>
              <w:rPr>
                <w:rFonts w:hint="default" w:eastAsia="仿宋" w:cs="Times New Roman"/>
                <w:color w:val="auto"/>
                <w:sz w:val="24"/>
                <w:lang w:val="en-US" w:eastAsia="zh-CN"/>
              </w:rPr>
            </w:pPr>
            <w:r>
              <w:rPr>
                <w:rFonts w:hint="eastAsia" w:cs="Times New Roman"/>
                <w:color w:val="auto"/>
                <w:sz w:val="24"/>
                <w:lang w:val="en-US" w:eastAsia="zh-CN"/>
              </w:rPr>
              <w:t>0.2</w:t>
            </w:r>
          </w:p>
        </w:tc>
        <w:tc>
          <w:tcPr>
            <w:tcW w:w="900" w:type="dxa"/>
            <w:vAlign w:val="center"/>
          </w:tcPr>
          <w:p>
            <w:pPr>
              <w:widowControl/>
              <w:spacing w:line="240" w:lineRule="auto"/>
              <w:ind w:firstLine="0" w:firstLineChars="0"/>
              <w:jc w:val="center"/>
              <w:rPr>
                <w:rFonts w:hint="default" w:eastAsia="仿宋" w:cs="Times New Roman"/>
                <w:color w:val="auto"/>
                <w:sz w:val="24"/>
                <w:lang w:val="en-US" w:eastAsia="zh-CN"/>
              </w:rPr>
            </w:pPr>
            <w:r>
              <w:rPr>
                <w:rFonts w:hint="eastAsia" w:cs="Times New Roman"/>
                <w:color w:val="auto"/>
                <w:sz w:val="24"/>
                <w:lang w:val="en-US" w:eastAsia="zh-CN"/>
              </w:rPr>
              <w:t>0.2</w:t>
            </w:r>
          </w:p>
        </w:tc>
        <w:tc>
          <w:tcPr>
            <w:tcW w:w="857" w:type="dxa"/>
            <w:vAlign w:val="center"/>
          </w:tcPr>
          <w:p>
            <w:pPr>
              <w:widowControl/>
              <w:spacing w:line="240" w:lineRule="auto"/>
              <w:ind w:firstLine="0" w:firstLineChars="0"/>
              <w:jc w:val="center"/>
              <w:rPr>
                <w:rFonts w:hint="default" w:eastAsia="仿宋" w:cs="Times New Roman"/>
                <w:color w:val="auto"/>
                <w:sz w:val="24"/>
                <w:lang w:val="en-US" w:eastAsia="zh-CN"/>
              </w:rPr>
            </w:pPr>
            <w:r>
              <w:rPr>
                <w:rFonts w:hint="eastAsia" w:cs="Times New Roman"/>
                <w:color w:val="auto"/>
                <w:sz w:val="24"/>
                <w:lang w:val="en-US" w:eastAsia="zh-CN"/>
              </w:rPr>
              <w:t>0.17</w:t>
            </w:r>
          </w:p>
        </w:tc>
        <w:tc>
          <w:tcPr>
            <w:tcW w:w="853" w:type="dxa"/>
            <w:vAlign w:val="center"/>
          </w:tcPr>
          <w:p>
            <w:pPr>
              <w:widowControl/>
              <w:spacing w:line="240" w:lineRule="auto"/>
              <w:ind w:firstLine="0" w:firstLineChars="0"/>
              <w:jc w:val="center"/>
              <w:rPr>
                <w:rFonts w:hint="default" w:eastAsia="仿宋" w:cs="Times New Roman"/>
                <w:color w:val="auto"/>
                <w:sz w:val="24"/>
                <w:lang w:val="en-US" w:eastAsia="zh-CN"/>
              </w:rPr>
            </w:pPr>
            <w:r>
              <w:rPr>
                <w:rFonts w:hint="eastAsia" w:cs="Times New Roman"/>
                <w:color w:val="auto"/>
                <w:sz w:val="24"/>
                <w:lang w:val="en-US" w:eastAsia="zh-CN"/>
              </w:rPr>
              <w:t>0.19</w:t>
            </w:r>
          </w:p>
        </w:tc>
      </w:tr>
    </w:tbl>
    <w:p>
      <w:pPr>
        <w:spacing w:line="600" w:lineRule="exact"/>
        <w:ind w:firstLine="560"/>
        <w:rPr>
          <w:rFonts w:cs="Times New Roman"/>
          <w:color w:val="auto"/>
        </w:rPr>
      </w:pPr>
      <w:r>
        <w:rPr>
          <w:rFonts w:hint="eastAsia" w:cs="Times New Roman"/>
          <w:color w:val="auto"/>
          <w:lang w:val="en-US" w:eastAsia="zh-CN"/>
        </w:rPr>
        <w:t>根据</w:t>
      </w:r>
      <w:r>
        <w:rPr>
          <w:rFonts w:cs="Times New Roman"/>
          <w:color w:val="auto"/>
        </w:rPr>
        <w:t>监测结果显示，绥棱县</w:t>
      </w:r>
      <w:r>
        <w:rPr>
          <w:rFonts w:hint="eastAsia" w:cs="Times New Roman"/>
          <w:color w:val="auto"/>
          <w:lang w:val="en-US" w:eastAsia="zh-CN"/>
        </w:rPr>
        <w:t>阁山大桥和上集大桥2个断面水质均达到III类水质标准要求</w:t>
      </w:r>
      <w:r>
        <w:rPr>
          <w:rFonts w:cs="Times New Roman"/>
          <w:color w:val="auto"/>
        </w:rPr>
        <w:t>。</w:t>
      </w:r>
    </w:p>
    <w:p>
      <w:pPr>
        <w:spacing w:line="600" w:lineRule="exact"/>
        <w:ind w:firstLine="560"/>
        <w:rPr>
          <w:rFonts w:hint="eastAsia" w:cs="Times New Roman"/>
          <w:color w:val="auto"/>
          <w:lang w:val="en-US" w:eastAsia="zh-CN"/>
        </w:rPr>
      </w:pPr>
      <w:r>
        <w:rPr>
          <w:rFonts w:hint="eastAsia" w:cs="Times New Roman"/>
          <w:color w:val="auto"/>
          <w:lang w:val="en-US" w:eastAsia="zh-CN"/>
        </w:rPr>
        <w:t>2021年绥棱县生态环境局编制了《克音河绥棱县水污染综合治理规划》，对绥棱县境内克音河流域进行了现状监测，本次评价引用综合治理规划中现状监测数据。</w:t>
      </w:r>
    </w:p>
    <w:p>
      <w:pPr>
        <w:spacing w:line="600" w:lineRule="exact"/>
        <w:ind w:firstLine="560"/>
        <w:rPr>
          <w:rFonts w:hint="eastAsia" w:cs="Times New Roman"/>
          <w:color w:val="auto"/>
          <w:lang w:val="en-US" w:eastAsia="zh-CN"/>
        </w:rPr>
      </w:pPr>
      <w:r>
        <w:rPr>
          <w:rFonts w:hint="eastAsia" w:cs="Times New Roman"/>
          <w:color w:val="auto"/>
          <w:lang w:val="en-US" w:eastAsia="zh-CN"/>
        </w:rPr>
        <w:t>规划中对绥棱县境内克音河干流及支流进行了水质现状监测，共布设断面25个（2#与22#断面同为克音水文站），监测项目包括溶解氧、高锰酸盐指数、COD、BOD</w:t>
      </w:r>
      <w:r>
        <w:rPr>
          <w:rFonts w:hint="eastAsia" w:cs="Times New Roman"/>
          <w:color w:val="auto"/>
          <w:vertAlign w:val="subscript"/>
          <w:lang w:val="en-US" w:eastAsia="zh-CN"/>
        </w:rPr>
        <w:t>5</w:t>
      </w:r>
      <w:r>
        <w:rPr>
          <w:rFonts w:hint="eastAsia" w:cs="Times New Roman"/>
          <w:color w:val="auto"/>
          <w:lang w:val="en-US" w:eastAsia="zh-CN"/>
        </w:rPr>
        <w:t>、氨氮共5项。监测断面布设见图2-2，监测结果见表2-3。</w:t>
      </w:r>
    </w:p>
    <w:p>
      <w:pPr>
        <w:keepNext w:val="0"/>
        <w:keepLines w:val="0"/>
        <w:pageBreakBefore w:val="0"/>
        <w:widowControl w:val="0"/>
        <w:kinsoku/>
        <w:wordWrap/>
        <w:overflowPunct/>
        <w:topLinePunct w:val="0"/>
        <w:autoSpaceDE/>
        <w:autoSpaceDN/>
        <w:bidi w:val="0"/>
        <w:adjustRightInd/>
        <w:snapToGrid/>
        <w:spacing w:line="500" w:lineRule="atLeast"/>
        <w:ind w:firstLine="0" w:firstLineChars="0"/>
        <w:jc w:val="center"/>
        <w:textAlignment w:val="auto"/>
        <w:rPr>
          <w:rFonts w:eastAsia="黑体" w:cs="Times New Roman"/>
          <w:color w:val="auto"/>
        </w:rPr>
      </w:pPr>
      <w:r>
        <w:rPr>
          <w:rFonts w:eastAsia="黑体" w:cs="Times New Roman"/>
          <w:color w:val="auto"/>
        </w:rPr>
        <w:t>表2-3  克音河干流及支流监测数据 （</w:t>
      </w:r>
      <w:r>
        <w:rPr>
          <w:rFonts w:eastAsia="黑体" w:cs="Times New Roman"/>
          <w:color w:val="auto"/>
          <w:sz w:val="24"/>
          <w:szCs w:val="24"/>
        </w:rPr>
        <w:t>单位：mg/L</w:t>
      </w:r>
      <w:r>
        <w:rPr>
          <w:rFonts w:eastAsia="黑体" w:cs="Times New Roman"/>
          <w:color w:val="auto"/>
        </w:rPr>
        <w:t>）</w:t>
      </w:r>
    </w:p>
    <w:tbl>
      <w:tblPr>
        <w:tblStyle w:val="16"/>
        <w:tblW w:w="83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44"/>
        <w:gridCol w:w="939"/>
        <w:gridCol w:w="829"/>
        <w:gridCol w:w="1109"/>
        <w:gridCol w:w="656"/>
        <w:gridCol w:w="761"/>
        <w:gridCol w:w="877"/>
        <w:gridCol w:w="1027"/>
        <w:gridCol w:w="8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6" w:hRule="atLeast"/>
        </w:trPr>
        <w:tc>
          <w:tcPr>
            <w:tcW w:w="1244"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断面名称及编号</w:t>
            </w:r>
          </w:p>
        </w:tc>
        <w:tc>
          <w:tcPr>
            <w:tcW w:w="939"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断面位于干流/支流</w:t>
            </w:r>
          </w:p>
        </w:tc>
        <w:tc>
          <w:tcPr>
            <w:tcW w:w="829"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溶解氧</w:t>
            </w:r>
          </w:p>
        </w:tc>
        <w:tc>
          <w:tcPr>
            <w:tcW w:w="1109"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高锰酸盐指数</w:t>
            </w:r>
          </w:p>
        </w:tc>
        <w:tc>
          <w:tcPr>
            <w:tcW w:w="656"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COD</w:t>
            </w:r>
          </w:p>
        </w:tc>
        <w:tc>
          <w:tcPr>
            <w:tcW w:w="761"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BOD</w:t>
            </w:r>
            <w:r>
              <w:rPr>
                <w:rFonts w:hint="eastAsia" w:cs="Times New Roman"/>
                <w:color w:val="auto"/>
                <w:sz w:val="24"/>
                <w:vertAlign w:val="subscript"/>
                <w:lang w:val="en-US" w:eastAsia="zh-CN"/>
              </w:rPr>
              <w:t>5</w:t>
            </w:r>
          </w:p>
        </w:tc>
        <w:tc>
          <w:tcPr>
            <w:tcW w:w="877"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氨氮</w:t>
            </w:r>
          </w:p>
        </w:tc>
        <w:tc>
          <w:tcPr>
            <w:tcW w:w="1027"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规划类别</w:t>
            </w:r>
          </w:p>
        </w:tc>
        <w:tc>
          <w:tcPr>
            <w:tcW w:w="874"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水质类别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6" w:hRule="atLeast"/>
        </w:trPr>
        <w:tc>
          <w:tcPr>
            <w:tcW w:w="1244"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1#绥棱县</w:t>
            </w:r>
          </w:p>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克音河源头</w:t>
            </w:r>
          </w:p>
        </w:tc>
        <w:tc>
          <w:tcPr>
            <w:tcW w:w="939"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干流</w:t>
            </w:r>
          </w:p>
        </w:tc>
        <w:tc>
          <w:tcPr>
            <w:tcW w:w="829"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6.12</w:t>
            </w:r>
          </w:p>
        </w:tc>
        <w:tc>
          <w:tcPr>
            <w:tcW w:w="1109"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3.89</w:t>
            </w:r>
          </w:p>
        </w:tc>
        <w:tc>
          <w:tcPr>
            <w:tcW w:w="656"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24</w:t>
            </w:r>
          </w:p>
        </w:tc>
        <w:tc>
          <w:tcPr>
            <w:tcW w:w="761"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5.76</w:t>
            </w:r>
          </w:p>
        </w:tc>
        <w:tc>
          <w:tcPr>
            <w:tcW w:w="877"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0.184</w:t>
            </w:r>
          </w:p>
        </w:tc>
        <w:tc>
          <w:tcPr>
            <w:tcW w:w="1027"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Ⅲ类</w:t>
            </w:r>
          </w:p>
        </w:tc>
        <w:tc>
          <w:tcPr>
            <w:tcW w:w="874"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Ⅳ类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5" w:hRule="atLeast"/>
        </w:trPr>
        <w:tc>
          <w:tcPr>
            <w:tcW w:w="1244"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2#（22#）克音水文站</w:t>
            </w:r>
          </w:p>
        </w:tc>
        <w:tc>
          <w:tcPr>
            <w:tcW w:w="939"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干流</w:t>
            </w:r>
          </w:p>
        </w:tc>
        <w:tc>
          <w:tcPr>
            <w:tcW w:w="829"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6.71</w:t>
            </w:r>
          </w:p>
        </w:tc>
        <w:tc>
          <w:tcPr>
            <w:tcW w:w="1109"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3.21</w:t>
            </w:r>
          </w:p>
        </w:tc>
        <w:tc>
          <w:tcPr>
            <w:tcW w:w="656"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16</w:t>
            </w:r>
          </w:p>
        </w:tc>
        <w:tc>
          <w:tcPr>
            <w:tcW w:w="761"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3.66</w:t>
            </w:r>
          </w:p>
        </w:tc>
        <w:tc>
          <w:tcPr>
            <w:tcW w:w="877"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0.692</w:t>
            </w:r>
          </w:p>
        </w:tc>
        <w:tc>
          <w:tcPr>
            <w:tcW w:w="1027"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Ⅲ类</w:t>
            </w:r>
          </w:p>
        </w:tc>
        <w:tc>
          <w:tcPr>
            <w:tcW w:w="874"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trPr>
        <w:tc>
          <w:tcPr>
            <w:tcW w:w="1244"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3#克音河公路大桥</w:t>
            </w:r>
          </w:p>
        </w:tc>
        <w:tc>
          <w:tcPr>
            <w:tcW w:w="939"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干流</w:t>
            </w:r>
          </w:p>
        </w:tc>
        <w:tc>
          <w:tcPr>
            <w:tcW w:w="829"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6.62</w:t>
            </w:r>
          </w:p>
        </w:tc>
        <w:tc>
          <w:tcPr>
            <w:tcW w:w="1109"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6.28</w:t>
            </w:r>
          </w:p>
        </w:tc>
        <w:tc>
          <w:tcPr>
            <w:tcW w:w="656"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40</w:t>
            </w:r>
          </w:p>
        </w:tc>
        <w:tc>
          <w:tcPr>
            <w:tcW w:w="761"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7.62</w:t>
            </w:r>
          </w:p>
        </w:tc>
        <w:tc>
          <w:tcPr>
            <w:tcW w:w="877"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0.407</w:t>
            </w:r>
          </w:p>
        </w:tc>
        <w:tc>
          <w:tcPr>
            <w:tcW w:w="1027"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Ⅲ类</w:t>
            </w:r>
          </w:p>
        </w:tc>
        <w:tc>
          <w:tcPr>
            <w:tcW w:w="874"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Ⅴ类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1" w:hRule="atLeast"/>
        </w:trPr>
        <w:tc>
          <w:tcPr>
            <w:tcW w:w="1244"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4#红光村</w:t>
            </w:r>
          </w:p>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断面</w:t>
            </w:r>
          </w:p>
        </w:tc>
        <w:tc>
          <w:tcPr>
            <w:tcW w:w="939"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干流</w:t>
            </w:r>
          </w:p>
        </w:tc>
        <w:tc>
          <w:tcPr>
            <w:tcW w:w="829"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6.88</w:t>
            </w:r>
          </w:p>
        </w:tc>
        <w:tc>
          <w:tcPr>
            <w:tcW w:w="1109"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7.67</w:t>
            </w:r>
          </w:p>
        </w:tc>
        <w:tc>
          <w:tcPr>
            <w:tcW w:w="656"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56</w:t>
            </w:r>
          </w:p>
        </w:tc>
        <w:tc>
          <w:tcPr>
            <w:tcW w:w="761"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8.14</w:t>
            </w:r>
          </w:p>
        </w:tc>
        <w:tc>
          <w:tcPr>
            <w:tcW w:w="877"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1.45</w:t>
            </w:r>
          </w:p>
        </w:tc>
        <w:tc>
          <w:tcPr>
            <w:tcW w:w="1027"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Ⅲ类</w:t>
            </w:r>
          </w:p>
        </w:tc>
        <w:tc>
          <w:tcPr>
            <w:tcW w:w="874"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劣Ⅴ类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6" w:hRule="atLeast"/>
        </w:trPr>
        <w:tc>
          <w:tcPr>
            <w:tcW w:w="1244"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5#北小河子入河口内</w:t>
            </w:r>
          </w:p>
        </w:tc>
        <w:tc>
          <w:tcPr>
            <w:tcW w:w="939"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支流</w:t>
            </w:r>
          </w:p>
        </w:tc>
        <w:tc>
          <w:tcPr>
            <w:tcW w:w="829"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6.14</w:t>
            </w:r>
          </w:p>
        </w:tc>
        <w:tc>
          <w:tcPr>
            <w:tcW w:w="1109"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0.986</w:t>
            </w:r>
          </w:p>
        </w:tc>
        <w:tc>
          <w:tcPr>
            <w:tcW w:w="656"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4</w:t>
            </w:r>
          </w:p>
        </w:tc>
        <w:tc>
          <w:tcPr>
            <w:tcW w:w="761"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1.02</w:t>
            </w:r>
          </w:p>
        </w:tc>
        <w:tc>
          <w:tcPr>
            <w:tcW w:w="877"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0.347</w:t>
            </w:r>
          </w:p>
        </w:tc>
        <w:tc>
          <w:tcPr>
            <w:tcW w:w="1027"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Ⅲ类</w:t>
            </w:r>
          </w:p>
        </w:tc>
        <w:tc>
          <w:tcPr>
            <w:tcW w:w="874"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Ⅱ类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6" w:hRule="atLeast"/>
        </w:trPr>
        <w:tc>
          <w:tcPr>
            <w:tcW w:w="1244"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6#北小河子入河口下</w:t>
            </w:r>
          </w:p>
        </w:tc>
        <w:tc>
          <w:tcPr>
            <w:tcW w:w="939"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干流</w:t>
            </w:r>
          </w:p>
        </w:tc>
        <w:tc>
          <w:tcPr>
            <w:tcW w:w="829"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6.44</w:t>
            </w:r>
          </w:p>
        </w:tc>
        <w:tc>
          <w:tcPr>
            <w:tcW w:w="1109"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6.32</w:t>
            </w:r>
          </w:p>
        </w:tc>
        <w:tc>
          <w:tcPr>
            <w:tcW w:w="656"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52</w:t>
            </w:r>
          </w:p>
        </w:tc>
        <w:tc>
          <w:tcPr>
            <w:tcW w:w="761"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8.36</w:t>
            </w:r>
          </w:p>
        </w:tc>
        <w:tc>
          <w:tcPr>
            <w:tcW w:w="877"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0.298</w:t>
            </w:r>
          </w:p>
        </w:tc>
        <w:tc>
          <w:tcPr>
            <w:tcW w:w="1027"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Ⅲ类</w:t>
            </w:r>
          </w:p>
        </w:tc>
        <w:tc>
          <w:tcPr>
            <w:tcW w:w="874"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劣Ⅴ类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5" w:hRule="atLeast"/>
        </w:trPr>
        <w:tc>
          <w:tcPr>
            <w:tcW w:w="1244"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7#十三井沟入河口内</w:t>
            </w:r>
          </w:p>
        </w:tc>
        <w:tc>
          <w:tcPr>
            <w:tcW w:w="939"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支流</w:t>
            </w:r>
          </w:p>
        </w:tc>
        <w:tc>
          <w:tcPr>
            <w:tcW w:w="829"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6.53</w:t>
            </w:r>
          </w:p>
        </w:tc>
        <w:tc>
          <w:tcPr>
            <w:tcW w:w="1109"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6.21</w:t>
            </w:r>
          </w:p>
        </w:tc>
        <w:tc>
          <w:tcPr>
            <w:tcW w:w="656"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48</w:t>
            </w:r>
          </w:p>
        </w:tc>
        <w:tc>
          <w:tcPr>
            <w:tcW w:w="761"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8.26</w:t>
            </w:r>
          </w:p>
        </w:tc>
        <w:tc>
          <w:tcPr>
            <w:tcW w:w="877"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0.367</w:t>
            </w:r>
          </w:p>
        </w:tc>
        <w:tc>
          <w:tcPr>
            <w:tcW w:w="1027"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Ⅲ类</w:t>
            </w:r>
          </w:p>
        </w:tc>
        <w:tc>
          <w:tcPr>
            <w:tcW w:w="874"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劣Ⅴ类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5" w:hRule="atLeast"/>
        </w:trPr>
        <w:tc>
          <w:tcPr>
            <w:tcW w:w="1244"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8#十三井沟入河口下</w:t>
            </w:r>
          </w:p>
        </w:tc>
        <w:tc>
          <w:tcPr>
            <w:tcW w:w="939"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干流</w:t>
            </w:r>
          </w:p>
        </w:tc>
        <w:tc>
          <w:tcPr>
            <w:tcW w:w="829"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6.62</w:t>
            </w:r>
          </w:p>
        </w:tc>
        <w:tc>
          <w:tcPr>
            <w:tcW w:w="1109"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6.56</w:t>
            </w:r>
          </w:p>
        </w:tc>
        <w:tc>
          <w:tcPr>
            <w:tcW w:w="656"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48</w:t>
            </w:r>
          </w:p>
        </w:tc>
        <w:tc>
          <w:tcPr>
            <w:tcW w:w="761"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8.22</w:t>
            </w:r>
          </w:p>
        </w:tc>
        <w:tc>
          <w:tcPr>
            <w:tcW w:w="877"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0.340</w:t>
            </w:r>
          </w:p>
        </w:tc>
        <w:tc>
          <w:tcPr>
            <w:tcW w:w="1027"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Ⅲ类</w:t>
            </w:r>
          </w:p>
        </w:tc>
        <w:tc>
          <w:tcPr>
            <w:tcW w:w="874"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劣Ⅴ类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6" w:hRule="atLeast"/>
        </w:trPr>
        <w:tc>
          <w:tcPr>
            <w:tcW w:w="1244"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9#三十户沟入河口内</w:t>
            </w:r>
          </w:p>
        </w:tc>
        <w:tc>
          <w:tcPr>
            <w:tcW w:w="939"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支流</w:t>
            </w:r>
          </w:p>
        </w:tc>
        <w:tc>
          <w:tcPr>
            <w:tcW w:w="829"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7.15</w:t>
            </w:r>
          </w:p>
        </w:tc>
        <w:tc>
          <w:tcPr>
            <w:tcW w:w="1109"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5.89</w:t>
            </w:r>
          </w:p>
        </w:tc>
        <w:tc>
          <w:tcPr>
            <w:tcW w:w="656"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24</w:t>
            </w:r>
          </w:p>
        </w:tc>
        <w:tc>
          <w:tcPr>
            <w:tcW w:w="761"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7.94</w:t>
            </w:r>
          </w:p>
        </w:tc>
        <w:tc>
          <w:tcPr>
            <w:tcW w:w="877"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0.344</w:t>
            </w:r>
          </w:p>
        </w:tc>
        <w:tc>
          <w:tcPr>
            <w:tcW w:w="1027"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Ⅲ类</w:t>
            </w:r>
          </w:p>
        </w:tc>
        <w:tc>
          <w:tcPr>
            <w:tcW w:w="874"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Ⅴ类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6" w:hRule="atLeast"/>
        </w:trPr>
        <w:tc>
          <w:tcPr>
            <w:tcW w:w="1244"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10#三十户沟入河口下</w:t>
            </w:r>
          </w:p>
        </w:tc>
        <w:tc>
          <w:tcPr>
            <w:tcW w:w="939"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干流</w:t>
            </w:r>
          </w:p>
        </w:tc>
        <w:tc>
          <w:tcPr>
            <w:tcW w:w="829"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6.21</w:t>
            </w:r>
          </w:p>
        </w:tc>
        <w:tc>
          <w:tcPr>
            <w:tcW w:w="1109"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4.26</w:t>
            </w:r>
          </w:p>
        </w:tc>
        <w:tc>
          <w:tcPr>
            <w:tcW w:w="656"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26</w:t>
            </w:r>
          </w:p>
        </w:tc>
        <w:tc>
          <w:tcPr>
            <w:tcW w:w="761"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3.96</w:t>
            </w:r>
          </w:p>
        </w:tc>
        <w:tc>
          <w:tcPr>
            <w:tcW w:w="877"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0.333</w:t>
            </w:r>
          </w:p>
        </w:tc>
        <w:tc>
          <w:tcPr>
            <w:tcW w:w="1027"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Ⅲ类</w:t>
            </w:r>
          </w:p>
        </w:tc>
        <w:tc>
          <w:tcPr>
            <w:tcW w:w="874"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Ⅳ类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5" w:hRule="atLeast"/>
        </w:trPr>
        <w:tc>
          <w:tcPr>
            <w:tcW w:w="1244"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11#小河湾沟入河口内</w:t>
            </w:r>
          </w:p>
        </w:tc>
        <w:tc>
          <w:tcPr>
            <w:tcW w:w="939"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支流</w:t>
            </w:r>
          </w:p>
        </w:tc>
        <w:tc>
          <w:tcPr>
            <w:tcW w:w="829"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6.84</w:t>
            </w:r>
          </w:p>
        </w:tc>
        <w:tc>
          <w:tcPr>
            <w:tcW w:w="1109"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2.89</w:t>
            </w:r>
          </w:p>
        </w:tc>
        <w:tc>
          <w:tcPr>
            <w:tcW w:w="656"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12</w:t>
            </w:r>
          </w:p>
        </w:tc>
        <w:tc>
          <w:tcPr>
            <w:tcW w:w="761"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2.86</w:t>
            </w:r>
          </w:p>
        </w:tc>
        <w:tc>
          <w:tcPr>
            <w:tcW w:w="877"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0.607</w:t>
            </w:r>
          </w:p>
        </w:tc>
        <w:tc>
          <w:tcPr>
            <w:tcW w:w="1027"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Ⅲ类</w:t>
            </w:r>
          </w:p>
        </w:tc>
        <w:tc>
          <w:tcPr>
            <w:tcW w:w="874"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6" w:hRule="atLeast"/>
        </w:trPr>
        <w:tc>
          <w:tcPr>
            <w:tcW w:w="1244"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12#小河湾沟入河口下</w:t>
            </w:r>
          </w:p>
        </w:tc>
        <w:tc>
          <w:tcPr>
            <w:tcW w:w="939"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干流</w:t>
            </w:r>
          </w:p>
        </w:tc>
        <w:tc>
          <w:tcPr>
            <w:tcW w:w="829"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6.11</w:t>
            </w:r>
          </w:p>
        </w:tc>
        <w:tc>
          <w:tcPr>
            <w:tcW w:w="1109"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5.00</w:t>
            </w:r>
          </w:p>
        </w:tc>
        <w:tc>
          <w:tcPr>
            <w:tcW w:w="656"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24</w:t>
            </w:r>
          </w:p>
        </w:tc>
        <w:tc>
          <w:tcPr>
            <w:tcW w:w="761"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7.08</w:t>
            </w:r>
          </w:p>
        </w:tc>
        <w:tc>
          <w:tcPr>
            <w:tcW w:w="877"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0.378</w:t>
            </w:r>
          </w:p>
        </w:tc>
        <w:tc>
          <w:tcPr>
            <w:tcW w:w="1027"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Ⅲ类</w:t>
            </w:r>
          </w:p>
        </w:tc>
        <w:tc>
          <w:tcPr>
            <w:tcW w:w="874"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Ⅴ类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3" w:hRule="atLeast"/>
        </w:trPr>
        <w:tc>
          <w:tcPr>
            <w:tcW w:w="1244"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13#刘明沟</w:t>
            </w:r>
          </w:p>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入河口内</w:t>
            </w:r>
          </w:p>
        </w:tc>
        <w:tc>
          <w:tcPr>
            <w:tcW w:w="939"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支流</w:t>
            </w:r>
          </w:p>
        </w:tc>
        <w:tc>
          <w:tcPr>
            <w:tcW w:w="829"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6.27</w:t>
            </w:r>
          </w:p>
        </w:tc>
        <w:tc>
          <w:tcPr>
            <w:tcW w:w="1109"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3.42</w:t>
            </w:r>
          </w:p>
        </w:tc>
        <w:tc>
          <w:tcPr>
            <w:tcW w:w="656"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16</w:t>
            </w:r>
          </w:p>
        </w:tc>
        <w:tc>
          <w:tcPr>
            <w:tcW w:w="761"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3.94</w:t>
            </w:r>
          </w:p>
        </w:tc>
        <w:tc>
          <w:tcPr>
            <w:tcW w:w="877"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0.510</w:t>
            </w:r>
          </w:p>
        </w:tc>
        <w:tc>
          <w:tcPr>
            <w:tcW w:w="1027"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Ⅲ类</w:t>
            </w:r>
          </w:p>
        </w:tc>
        <w:tc>
          <w:tcPr>
            <w:tcW w:w="874"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3" w:hRule="atLeast"/>
        </w:trPr>
        <w:tc>
          <w:tcPr>
            <w:tcW w:w="1244"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14#刘明沟</w:t>
            </w:r>
          </w:p>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入河口下</w:t>
            </w:r>
          </w:p>
        </w:tc>
        <w:tc>
          <w:tcPr>
            <w:tcW w:w="939"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干流</w:t>
            </w:r>
          </w:p>
        </w:tc>
        <w:tc>
          <w:tcPr>
            <w:tcW w:w="829"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6.28</w:t>
            </w:r>
          </w:p>
        </w:tc>
        <w:tc>
          <w:tcPr>
            <w:tcW w:w="1109"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3.92</w:t>
            </w:r>
          </w:p>
        </w:tc>
        <w:tc>
          <w:tcPr>
            <w:tcW w:w="656"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18</w:t>
            </w:r>
          </w:p>
        </w:tc>
        <w:tc>
          <w:tcPr>
            <w:tcW w:w="761"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3.52</w:t>
            </w:r>
          </w:p>
        </w:tc>
        <w:tc>
          <w:tcPr>
            <w:tcW w:w="877"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0.321</w:t>
            </w:r>
          </w:p>
        </w:tc>
        <w:tc>
          <w:tcPr>
            <w:tcW w:w="1027"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Ⅲ类</w:t>
            </w:r>
          </w:p>
        </w:tc>
        <w:tc>
          <w:tcPr>
            <w:tcW w:w="874"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trPr>
        <w:tc>
          <w:tcPr>
            <w:tcW w:w="1244"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15#部落沟</w:t>
            </w:r>
          </w:p>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入河口内</w:t>
            </w:r>
          </w:p>
        </w:tc>
        <w:tc>
          <w:tcPr>
            <w:tcW w:w="939"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支流</w:t>
            </w:r>
          </w:p>
        </w:tc>
        <w:tc>
          <w:tcPr>
            <w:tcW w:w="829"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6.35</w:t>
            </w:r>
          </w:p>
        </w:tc>
        <w:tc>
          <w:tcPr>
            <w:tcW w:w="1109"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6.26</w:t>
            </w:r>
          </w:p>
        </w:tc>
        <w:tc>
          <w:tcPr>
            <w:tcW w:w="656"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32</w:t>
            </w:r>
          </w:p>
        </w:tc>
        <w:tc>
          <w:tcPr>
            <w:tcW w:w="761"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7.04</w:t>
            </w:r>
          </w:p>
        </w:tc>
        <w:tc>
          <w:tcPr>
            <w:tcW w:w="877"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0.235</w:t>
            </w:r>
          </w:p>
        </w:tc>
        <w:tc>
          <w:tcPr>
            <w:tcW w:w="1027"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Ⅲ类</w:t>
            </w:r>
          </w:p>
        </w:tc>
        <w:tc>
          <w:tcPr>
            <w:tcW w:w="874"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Ⅴ类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trPr>
        <w:tc>
          <w:tcPr>
            <w:tcW w:w="1244"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16#部落沟</w:t>
            </w:r>
          </w:p>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入河口下</w:t>
            </w:r>
          </w:p>
        </w:tc>
        <w:tc>
          <w:tcPr>
            <w:tcW w:w="939"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干流</w:t>
            </w:r>
          </w:p>
        </w:tc>
        <w:tc>
          <w:tcPr>
            <w:tcW w:w="829"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6.62</w:t>
            </w:r>
          </w:p>
        </w:tc>
        <w:tc>
          <w:tcPr>
            <w:tcW w:w="1109"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1.84</w:t>
            </w:r>
          </w:p>
        </w:tc>
        <w:tc>
          <w:tcPr>
            <w:tcW w:w="656"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12</w:t>
            </w:r>
          </w:p>
        </w:tc>
        <w:tc>
          <w:tcPr>
            <w:tcW w:w="761"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2.42</w:t>
            </w:r>
          </w:p>
        </w:tc>
        <w:tc>
          <w:tcPr>
            <w:tcW w:w="877"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0.390</w:t>
            </w:r>
          </w:p>
        </w:tc>
        <w:tc>
          <w:tcPr>
            <w:tcW w:w="1027"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Ⅲ类</w:t>
            </w:r>
          </w:p>
        </w:tc>
        <w:tc>
          <w:tcPr>
            <w:tcW w:w="874"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2" w:hRule="atLeast"/>
        </w:trPr>
        <w:tc>
          <w:tcPr>
            <w:tcW w:w="1244"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17#十六井沟入河口内</w:t>
            </w:r>
          </w:p>
        </w:tc>
        <w:tc>
          <w:tcPr>
            <w:tcW w:w="939"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支流</w:t>
            </w:r>
          </w:p>
        </w:tc>
        <w:tc>
          <w:tcPr>
            <w:tcW w:w="829"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6.00</w:t>
            </w:r>
          </w:p>
        </w:tc>
        <w:tc>
          <w:tcPr>
            <w:tcW w:w="1109"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2.98</w:t>
            </w:r>
          </w:p>
        </w:tc>
        <w:tc>
          <w:tcPr>
            <w:tcW w:w="656"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18</w:t>
            </w:r>
          </w:p>
        </w:tc>
        <w:tc>
          <w:tcPr>
            <w:tcW w:w="761"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3.82</w:t>
            </w:r>
          </w:p>
        </w:tc>
        <w:tc>
          <w:tcPr>
            <w:tcW w:w="877"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0.230</w:t>
            </w:r>
          </w:p>
        </w:tc>
        <w:tc>
          <w:tcPr>
            <w:tcW w:w="1027"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Ⅲ类</w:t>
            </w:r>
          </w:p>
        </w:tc>
        <w:tc>
          <w:tcPr>
            <w:tcW w:w="874"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5" w:hRule="atLeast"/>
        </w:trPr>
        <w:tc>
          <w:tcPr>
            <w:tcW w:w="1244"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18#十六井沟入河口下</w:t>
            </w:r>
          </w:p>
        </w:tc>
        <w:tc>
          <w:tcPr>
            <w:tcW w:w="939"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干流</w:t>
            </w:r>
          </w:p>
        </w:tc>
        <w:tc>
          <w:tcPr>
            <w:tcW w:w="829"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6.35</w:t>
            </w:r>
          </w:p>
        </w:tc>
        <w:tc>
          <w:tcPr>
            <w:tcW w:w="1109"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3.02</w:t>
            </w:r>
          </w:p>
        </w:tc>
        <w:tc>
          <w:tcPr>
            <w:tcW w:w="656"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16</w:t>
            </w:r>
          </w:p>
        </w:tc>
        <w:tc>
          <w:tcPr>
            <w:tcW w:w="761"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3.20</w:t>
            </w:r>
          </w:p>
        </w:tc>
        <w:tc>
          <w:tcPr>
            <w:tcW w:w="877"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0.515</w:t>
            </w:r>
          </w:p>
        </w:tc>
        <w:tc>
          <w:tcPr>
            <w:tcW w:w="1027"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Ⅲ类</w:t>
            </w:r>
          </w:p>
        </w:tc>
        <w:tc>
          <w:tcPr>
            <w:tcW w:w="874"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6" w:hRule="atLeast"/>
        </w:trPr>
        <w:tc>
          <w:tcPr>
            <w:tcW w:w="1244"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19#九井沟</w:t>
            </w:r>
          </w:p>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入河口内下</w:t>
            </w:r>
          </w:p>
        </w:tc>
        <w:tc>
          <w:tcPr>
            <w:tcW w:w="939"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支流</w:t>
            </w:r>
          </w:p>
        </w:tc>
        <w:tc>
          <w:tcPr>
            <w:tcW w:w="829"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5.35</w:t>
            </w:r>
          </w:p>
        </w:tc>
        <w:tc>
          <w:tcPr>
            <w:tcW w:w="1109"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8.25</w:t>
            </w:r>
          </w:p>
        </w:tc>
        <w:tc>
          <w:tcPr>
            <w:tcW w:w="656"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50</w:t>
            </w:r>
          </w:p>
        </w:tc>
        <w:tc>
          <w:tcPr>
            <w:tcW w:w="761"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9.48</w:t>
            </w:r>
          </w:p>
        </w:tc>
        <w:tc>
          <w:tcPr>
            <w:tcW w:w="877"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0.338</w:t>
            </w:r>
          </w:p>
        </w:tc>
        <w:tc>
          <w:tcPr>
            <w:tcW w:w="1027"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Ⅲ类</w:t>
            </w:r>
          </w:p>
        </w:tc>
        <w:tc>
          <w:tcPr>
            <w:tcW w:w="874"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劣Ⅴ类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1" w:hRule="atLeast"/>
        </w:trPr>
        <w:tc>
          <w:tcPr>
            <w:tcW w:w="1244"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20#九井沟</w:t>
            </w:r>
          </w:p>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入河口下</w:t>
            </w:r>
          </w:p>
        </w:tc>
        <w:tc>
          <w:tcPr>
            <w:tcW w:w="939"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干流</w:t>
            </w:r>
          </w:p>
        </w:tc>
        <w:tc>
          <w:tcPr>
            <w:tcW w:w="829"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6.02</w:t>
            </w:r>
          </w:p>
        </w:tc>
        <w:tc>
          <w:tcPr>
            <w:tcW w:w="1109"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7.02</w:t>
            </w:r>
          </w:p>
        </w:tc>
        <w:tc>
          <w:tcPr>
            <w:tcW w:w="656"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44</w:t>
            </w:r>
          </w:p>
        </w:tc>
        <w:tc>
          <w:tcPr>
            <w:tcW w:w="761"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7.86</w:t>
            </w:r>
          </w:p>
        </w:tc>
        <w:tc>
          <w:tcPr>
            <w:tcW w:w="877"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0.498</w:t>
            </w:r>
          </w:p>
        </w:tc>
        <w:tc>
          <w:tcPr>
            <w:tcW w:w="1027"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Ⅲ类</w:t>
            </w:r>
          </w:p>
        </w:tc>
        <w:tc>
          <w:tcPr>
            <w:tcW w:w="874"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劣Ⅴ类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trPr>
        <w:tc>
          <w:tcPr>
            <w:tcW w:w="1244"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21#吉长沟</w:t>
            </w:r>
          </w:p>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入河口内</w:t>
            </w:r>
          </w:p>
        </w:tc>
        <w:tc>
          <w:tcPr>
            <w:tcW w:w="939"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支流</w:t>
            </w:r>
          </w:p>
        </w:tc>
        <w:tc>
          <w:tcPr>
            <w:tcW w:w="829"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5.12</w:t>
            </w:r>
          </w:p>
        </w:tc>
        <w:tc>
          <w:tcPr>
            <w:tcW w:w="1109"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8.31</w:t>
            </w:r>
          </w:p>
        </w:tc>
        <w:tc>
          <w:tcPr>
            <w:tcW w:w="656"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50</w:t>
            </w:r>
          </w:p>
        </w:tc>
        <w:tc>
          <w:tcPr>
            <w:tcW w:w="761"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9.22</w:t>
            </w:r>
          </w:p>
        </w:tc>
        <w:tc>
          <w:tcPr>
            <w:tcW w:w="877"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2.53</w:t>
            </w:r>
          </w:p>
        </w:tc>
        <w:tc>
          <w:tcPr>
            <w:tcW w:w="1027"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Ⅲ类</w:t>
            </w:r>
          </w:p>
        </w:tc>
        <w:tc>
          <w:tcPr>
            <w:tcW w:w="874"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劣Ⅴ类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trPr>
        <w:tc>
          <w:tcPr>
            <w:tcW w:w="1244"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23#九江沟</w:t>
            </w:r>
          </w:p>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入河口内</w:t>
            </w:r>
          </w:p>
        </w:tc>
        <w:tc>
          <w:tcPr>
            <w:tcW w:w="939"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支流</w:t>
            </w:r>
          </w:p>
        </w:tc>
        <w:tc>
          <w:tcPr>
            <w:tcW w:w="829"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7.12</w:t>
            </w:r>
          </w:p>
        </w:tc>
        <w:tc>
          <w:tcPr>
            <w:tcW w:w="1109"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1.94</w:t>
            </w:r>
          </w:p>
        </w:tc>
        <w:tc>
          <w:tcPr>
            <w:tcW w:w="656"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8</w:t>
            </w:r>
          </w:p>
        </w:tc>
        <w:tc>
          <w:tcPr>
            <w:tcW w:w="761"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2.12</w:t>
            </w:r>
          </w:p>
        </w:tc>
        <w:tc>
          <w:tcPr>
            <w:tcW w:w="877"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0.355</w:t>
            </w:r>
          </w:p>
        </w:tc>
        <w:tc>
          <w:tcPr>
            <w:tcW w:w="1027"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Ⅲ类</w:t>
            </w:r>
          </w:p>
        </w:tc>
        <w:tc>
          <w:tcPr>
            <w:tcW w:w="874"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Ⅱ类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trPr>
        <w:tc>
          <w:tcPr>
            <w:tcW w:w="1244"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24#王家大</w:t>
            </w:r>
          </w:p>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院</w:t>
            </w:r>
          </w:p>
        </w:tc>
        <w:tc>
          <w:tcPr>
            <w:tcW w:w="939"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干流</w:t>
            </w:r>
          </w:p>
        </w:tc>
        <w:tc>
          <w:tcPr>
            <w:tcW w:w="829"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6.00</w:t>
            </w:r>
          </w:p>
        </w:tc>
        <w:tc>
          <w:tcPr>
            <w:tcW w:w="1109"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6.41</w:t>
            </w:r>
          </w:p>
        </w:tc>
        <w:tc>
          <w:tcPr>
            <w:tcW w:w="656"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40</w:t>
            </w:r>
          </w:p>
        </w:tc>
        <w:tc>
          <w:tcPr>
            <w:tcW w:w="761"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7.52</w:t>
            </w:r>
          </w:p>
        </w:tc>
        <w:tc>
          <w:tcPr>
            <w:tcW w:w="877"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1.86</w:t>
            </w:r>
          </w:p>
        </w:tc>
        <w:tc>
          <w:tcPr>
            <w:tcW w:w="1027"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Ⅲ类</w:t>
            </w:r>
          </w:p>
        </w:tc>
        <w:tc>
          <w:tcPr>
            <w:tcW w:w="874"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Ⅴ类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5" w:hRule="atLeast"/>
        </w:trPr>
        <w:tc>
          <w:tcPr>
            <w:tcW w:w="1244"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25#十五井</w:t>
            </w:r>
          </w:p>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沟入河口内</w:t>
            </w:r>
          </w:p>
        </w:tc>
        <w:tc>
          <w:tcPr>
            <w:tcW w:w="939"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支流</w:t>
            </w:r>
          </w:p>
        </w:tc>
        <w:tc>
          <w:tcPr>
            <w:tcW w:w="829"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7.15</w:t>
            </w:r>
          </w:p>
        </w:tc>
        <w:tc>
          <w:tcPr>
            <w:tcW w:w="1109"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0.998</w:t>
            </w:r>
          </w:p>
        </w:tc>
        <w:tc>
          <w:tcPr>
            <w:tcW w:w="656"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4</w:t>
            </w:r>
          </w:p>
        </w:tc>
        <w:tc>
          <w:tcPr>
            <w:tcW w:w="761"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1.04</w:t>
            </w:r>
          </w:p>
        </w:tc>
        <w:tc>
          <w:tcPr>
            <w:tcW w:w="877"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0.258</w:t>
            </w:r>
          </w:p>
        </w:tc>
        <w:tc>
          <w:tcPr>
            <w:tcW w:w="1027"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Ⅲ类</w:t>
            </w:r>
          </w:p>
        </w:tc>
        <w:tc>
          <w:tcPr>
            <w:tcW w:w="874"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Ⅱ类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5" w:hRule="atLeast"/>
        </w:trPr>
        <w:tc>
          <w:tcPr>
            <w:tcW w:w="1244"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26#十五井</w:t>
            </w:r>
          </w:p>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沟入河口下</w:t>
            </w:r>
          </w:p>
        </w:tc>
        <w:tc>
          <w:tcPr>
            <w:tcW w:w="939"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干流</w:t>
            </w:r>
          </w:p>
        </w:tc>
        <w:tc>
          <w:tcPr>
            <w:tcW w:w="829"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6.15</w:t>
            </w:r>
          </w:p>
        </w:tc>
        <w:tc>
          <w:tcPr>
            <w:tcW w:w="1109"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7.06</w:t>
            </w:r>
          </w:p>
        </w:tc>
        <w:tc>
          <w:tcPr>
            <w:tcW w:w="656"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39</w:t>
            </w:r>
          </w:p>
        </w:tc>
        <w:tc>
          <w:tcPr>
            <w:tcW w:w="761"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8.10</w:t>
            </w:r>
          </w:p>
        </w:tc>
        <w:tc>
          <w:tcPr>
            <w:tcW w:w="877"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0.956</w:t>
            </w:r>
          </w:p>
        </w:tc>
        <w:tc>
          <w:tcPr>
            <w:tcW w:w="1027"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Ⅲ类</w:t>
            </w:r>
          </w:p>
        </w:tc>
        <w:tc>
          <w:tcPr>
            <w:tcW w:w="874"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Ⅴ类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8" w:hRule="atLeast"/>
        </w:trPr>
        <w:tc>
          <w:tcPr>
            <w:tcW w:w="1244"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Ⅲ类标准</w:t>
            </w:r>
          </w:p>
        </w:tc>
        <w:tc>
          <w:tcPr>
            <w:tcW w:w="939"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w:t>
            </w:r>
          </w:p>
        </w:tc>
        <w:tc>
          <w:tcPr>
            <w:tcW w:w="829"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≥5</w:t>
            </w:r>
          </w:p>
        </w:tc>
        <w:tc>
          <w:tcPr>
            <w:tcW w:w="1109"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≤6</w:t>
            </w:r>
          </w:p>
        </w:tc>
        <w:tc>
          <w:tcPr>
            <w:tcW w:w="656"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≤20</w:t>
            </w:r>
          </w:p>
        </w:tc>
        <w:tc>
          <w:tcPr>
            <w:tcW w:w="761"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≤4</w:t>
            </w:r>
          </w:p>
        </w:tc>
        <w:tc>
          <w:tcPr>
            <w:tcW w:w="877"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≤1.0</w:t>
            </w:r>
          </w:p>
        </w:tc>
        <w:tc>
          <w:tcPr>
            <w:tcW w:w="1027"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w:t>
            </w:r>
          </w:p>
        </w:tc>
        <w:tc>
          <w:tcPr>
            <w:tcW w:w="874" w:type="dxa"/>
            <w:noWrap w:val="0"/>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w:t>
            </w:r>
          </w:p>
        </w:tc>
      </w:tr>
    </w:tbl>
    <w:p>
      <w:pPr>
        <w:tabs>
          <w:tab w:val="left" w:pos="1716"/>
        </w:tabs>
        <w:kinsoku w:val="0"/>
        <w:overflowPunct w:val="0"/>
        <w:autoSpaceDE w:val="0"/>
        <w:autoSpaceDN w:val="0"/>
        <w:adjustRightInd w:val="0"/>
        <w:spacing w:before="240" w:beforeLines="100" w:line="360" w:lineRule="auto"/>
        <w:ind w:firstLine="420" w:firstLineChars="150"/>
        <w:jc w:val="left"/>
        <w:rPr>
          <w:rFonts w:hint="eastAsia" w:eastAsia="仿宋"/>
          <w:color w:val="auto"/>
          <w:kern w:val="0"/>
          <w:sz w:val="4"/>
          <w:szCs w:val="4"/>
          <w:lang w:eastAsia="zh-CN"/>
        </w:rPr>
      </w:pPr>
      <w:r>
        <w:rPr>
          <w:color w:val="auto"/>
          <w:sz w:val="28"/>
          <w:szCs w:val="28"/>
        </w:rPr>
        <w:t>本次监测在克音河干流布设了15个监测断面，在11条支流上分别设置了1个监测断面，从监测数据统计结果来看，克音河干流与支流普遍存在水质超标情况。除个别断面能达到</w:t>
      </w:r>
      <w:r>
        <w:rPr>
          <w:rFonts w:hint="eastAsia" w:ascii="宋体" w:hAnsi="宋体" w:cs="宋体"/>
          <w:color w:val="auto"/>
          <w:sz w:val="28"/>
          <w:szCs w:val="28"/>
        </w:rPr>
        <w:t>Ⅲ</w:t>
      </w:r>
      <w:r>
        <w:rPr>
          <w:color w:val="auto"/>
          <w:sz w:val="28"/>
          <w:szCs w:val="28"/>
        </w:rPr>
        <w:t>类水质要求外，其他断面一般为</w:t>
      </w:r>
      <w:r>
        <w:rPr>
          <w:rFonts w:hint="eastAsia" w:ascii="宋体" w:hAnsi="宋体" w:cs="宋体"/>
          <w:color w:val="auto"/>
          <w:sz w:val="28"/>
          <w:szCs w:val="28"/>
        </w:rPr>
        <w:t>Ⅴ</w:t>
      </w:r>
      <w:r>
        <w:rPr>
          <w:color w:val="auto"/>
          <w:sz w:val="28"/>
          <w:szCs w:val="28"/>
        </w:rPr>
        <w:t>类或劣</w:t>
      </w:r>
      <w:r>
        <w:rPr>
          <w:rFonts w:hint="eastAsia" w:ascii="宋体" w:hAnsi="宋体" w:cs="宋体"/>
          <w:color w:val="auto"/>
          <w:sz w:val="28"/>
          <w:szCs w:val="28"/>
        </w:rPr>
        <w:t>Ⅴ</w:t>
      </w:r>
      <w:r>
        <w:rPr>
          <w:color w:val="auto"/>
          <w:sz w:val="28"/>
          <w:szCs w:val="28"/>
        </w:rPr>
        <w:t>类水体。</w:t>
      </w:r>
      <w:r>
        <w:rPr>
          <w:rFonts w:hint="eastAsia" w:ascii="宋体" w:hAnsi="宋体" w:cs="宋体"/>
          <w:color w:val="auto"/>
          <w:sz w:val="28"/>
          <w:szCs w:val="28"/>
        </w:rPr>
        <w:t>Ⅲ</w:t>
      </w:r>
      <w:r>
        <w:rPr>
          <w:color w:val="auto"/>
          <w:sz w:val="28"/>
          <w:szCs w:val="28"/>
        </w:rPr>
        <w:t>类及以上断面比例为38.5%、</w:t>
      </w:r>
      <w:r>
        <w:rPr>
          <w:rFonts w:hint="eastAsia" w:ascii="宋体" w:hAnsi="宋体" w:cs="宋体"/>
          <w:color w:val="auto"/>
          <w:sz w:val="28"/>
          <w:szCs w:val="28"/>
        </w:rPr>
        <w:t>Ⅳ</w:t>
      </w:r>
      <w:r>
        <w:rPr>
          <w:color w:val="auto"/>
          <w:sz w:val="28"/>
          <w:szCs w:val="28"/>
        </w:rPr>
        <w:t>类为7.7%、</w:t>
      </w:r>
      <w:r>
        <w:rPr>
          <w:rFonts w:hint="eastAsia" w:ascii="宋体" w:hAnsi="宋体" w:cs="宋体"/>
          <w:color w:val="auto"/>
          <w:sz w:val="28"/>
          <w:szCs w:val="28"/>
        </w:rPr>
        <w:t>Ⅴ</w:t>
      </w:r>
      <w:r>
        <w:rPr>
          <w:color w:val="auto"/>
          <w:sz w:val="28"/>
          <w:szCs w:val="28"/>
        </w:rPr>
        <w:t>类为23.1%、劣</w:t>
      </w:r>
      <w:r>
        <w:rPr>
          <w:rFonts w:hint="eastAsia" w:ascii="宋体" w:hAnsi="宋体" w:cs="宋体"/>
          <w:color w:val="auto"/>
          <w:sz w:val="28"/>
          <w:szCs w:val="28"/>
        </w:rPr>
        <w:t>Ⅴ</w:t>
      </w:r>
      <w:r>
        <w:rPr>
          <w:color w:val="auto"/>
          <w:sz w:val="28"/>
          <w:szCs w:val="28"/>
        </w:rPr>
        <w:t>类为30.7%。克音河主要污染指标为COD、BOD5、高锰酸盐指数</w:t>
      </w:r>
      <w:r>
        <w:rPr>
          <w:rFonts w:hint="eastAsia"/>
          <w:color w:val="auto"/>
          <w:sz w:val="28"/>
          <w:szCs w:val="28"/>
          <w:lang w:eastAsia="zh-CN"/>
        </w:rPr>
        <w:t>。</w:t>
      </w:r>
    </w:p>
    <w:p>
      <w:pPr>
        <w:pStyle w:val="4"/>
        <w:spacing w:line="600" w:lineRule="exact"/>
        <w:ind w:firstLine="0" w:firstLineChars="0"/>
        <w:rPr>
          <w:rFonts w:cs="Times New Roman"/>
          <w:color w:val="auto"/>
          <w:sz w:val="30"/>
          <w:szCs w:val="30"/>
        </w:rPr>
      </w:pPr>
      <w:r>
        <w:rPr>
          <w:rFonts w:cs="Times New Roman"/>
          <w:color w:val="auto"/>
          <w:sz w:val="30"/>
          <w:szCs w:val="30"/>
        </w:rPr>
        <w:t>2.3.3土壤环境质量现状</w:t>
      </w:r>
    </w:p>
    <w:p>
      <w:pPr>
        <w:ind w:firstLine="560"/>
        <w:rPr>
          <w:rFonts w:cs="Times New Roman"/>
          <w:color w:val="auto"/>
        </w:rPr>
      </w:pPr>
      <w:r>
        <w:rPr>
          <w:rFonts w:cs="Times New Roman"/>
          <w:color w:val="auto"/>
        </w:rPr>
        <w:t>绥棱县拥有世界上最为优质、稀缺的寒地黑土资源，属于黑土和草甸黑土类型，土壤肥力中等偏上，土壤有机质含量22-48g/kg，土壤全氮含量0.25-2.38g/kg，土壤有效磷含量12-55mg/kg，土壤速效钾含量60-180mg/kg，土壤pH值5.5-8.9，土壤多为团粒结构，易于耕作。同时绥棱县又是“中国富硒食品之乡”，据权威机构检测，绥棱富硒土壤中硒元素含量符合国家土壤富硒标准和适硒标准的土地面积较大，资源相对丰富。</w:t>
      </w:r>
    </w:p>
    <w:p>
      <w:pPr>
        <w:pStyle w:val="4"/>
        <w:spacing w:line="600" w:lineRule="exact"/>
        <w:ind w:firstLine="0" w:firstLineChars="0"/>
        <w:rPr>
          <w:rFonts w:cs="Times New Roman"/>
          <w:color w:val="auto"/>
          <w:sz w:val="30"/>
          <w:szCs w:val="30"/>
        </w:rPr>
      </w:pPr>
      <w:r>
        <w:rPr>
          <w:rFonts w:cs="Times New Roman"/>
          <w:color w:val="auto"/>
          <w:sz w:val="30"/>
          <w:szCs w:val="30"/>
        </w:rPr>
        <w:t>2.3.4生态系统服务功能现状</w:t>
      </w:r>
    </w:p>
    <w:p>
      <w:pPr>
        <w:pStyle w:val="5"/>
        <w:spacing w:after="156" w:afterLines="50"/>
        <w:ind w:firstLine="0" w:firstLineChars="0"/>
        <w:rPr>
          <w:rFonts w:eastAsia="仿宋" w:cs="Times New Roman"/>
          <w:b/>
          <w:bCs/>
          <w:color w:val="auto"/>
          <w:sz w:val="28"/>
        </w:rPr>
      </w:pPr>
      <w:r>
        <w:rPr>
          <w:rFonts w:eastAsia="仿宋" w:cs="Times New Roman"/>
          <w:b/>
          <w:bCs/>
          <w:color w:val="auto"/>
          <w:sz w:val="28"/>
        </w:rPr>
        <w:t>2.3.4.1生态区位</w:t>
      </w:r>
    </w:p>
    <w:p>
      <w:pPr>
        <w:ind w:firstLine="560"/>
        <w:rPr>
          <w:rFonts w:cs="Times New Roman"/>
          <w:color w:val="auto"/>
        </w:rPr>
      </w:pPr>
      <w:r>
        <w:rPr>
          <w:rFonts w:cs="Times New Roman"/>
          <w:color w:val="auto"/>
        </w:rPr>
        <w:t>绥棱县位于绥化市东北部，地势东北高西南低，由东北向西南缓倾斜，其东北部为山区，森林植被广泛分布，植被属长白山植物区系，林区北部尚有少量的红松、云杉、水曲柳等天然树种外，其他部分已变为以山杨、柞树、樟子松、白桦等为主的天然次生林。</w:t>
      </w:r>
    </w:p>
    <w:p>
      <w:pPr>
        <w:ind w:firstLine="560"/>
        <w:rPr>
          <w:rFonts w:cs="Times New Roman"/>
          <w:color w:val="auto"/>
        </w:rPr>
      </w:pPr>
      <w:r>
        <w:rPr>
          <w:rFonts w:cs="Times New Roman"/>
          <w:color w:val="auto"/>
        </w:rPr>
        <w:t>根据《黑龙江省生态功能区划》，绥棱县位于I-5-2-1呼兰河流域上游水源涵养与土壤保持生态功能区，主要生态环境问题是低洼地雨季易发生涝灾，旱季易形成旱灾；砂质土壤蓄水能力差，水土流失严重；生态环境敏感性为土壤侵蚀、土地沙漠化和水污染中度敏感地区分布较为广泛，主要生态系统服务功能水源涵养及土壤保持。</w:t>
      </w:r>
    </w:p>
    <w:p>
      <w:pPr>
        <w:ind w:firstLine="560"/>
        <w:rPr>
          <w:rFonts w:cs="Times New Roman"/>
          <w:color w:val="auto"/>
        </w:rPr>
      </w:pPr>
      <w:r>
        <w:rPr>
          <w:rFonts w:cs="Times New Roman"/>
          <w:color w:val="auto"/>
        </w:rPr>
        <w:t>根据《绥棱县国土空间规划》（2021-2035年），将绥棱县分为五个区，生态保护区、生态控制区、农田保护区、城镇发展区和矿产能源发展区。生态保护区是以自然保护为主要功能导向，包括水源涵养、水土保持、生物多样性维护、海洋生态系统稳定性维护等具有生态服务功能的区域，并与生态保护红线评估调整成果充分衔接而确定的生态保护范围。生态控制区是在生态保护红线之外，需要予以保留原貌，强化生态保育和生态建设，限制开发建设的陆地和海洋自然区域。农田保护区是指永久基本农田相对集中需严格保护的区域，区内从严管控非农建设占用永久基本农田。城镇发展区主要包括城镇集中建设区、城镇弹性发展区以及特别用途区三部分，是城镇集中开发建设并可满足城镇生产、生活需要的区域。矿产能源发展区是为适应国家能源安全与矿业发展的重要陆域采矿区、战略性矿产储蓄区等区域，国土空间规划分区见附图</w:t>
      </w:r>
      <w:r>
        <w:rPr>
          <w:rFonts w:hint="eastAsia" w:cs="Times New Roman"/>
          <w:color w:val="auto"/>
        </w:rPr>
        <w:t>4</w:t>
      </w:r>
      <w:r>
        <w:rPr>
          <w:rFonts w:cs="Times New Roman"/>
          <w:color w:val="auto"/>
        </w:rPr>
        <w:t>。</w:t>
      </w:r>
    </w:p>
    <w:p>
      <w:pPr>
        <w:pStyle w:val="5"/>
        <w:spacing w:after="156" w:afterLines="50"/>
        <w:ind w:firstLine="0" w:firstLineChars="0"/>
        <w:rPr>
          <w:rFonts w:eastAsia="仿宋" w:cs="Times New Roman"/>
          <w:b/>
          <w:bCs/>
          <w:color w:val="auto"/>
          <w:sz w:val="28"/>
        </w:rPr>
      </w:pPr>
      <w:r>
        <w:rPr>
          <w:rFonts w:eastAsia="仿宋" w:cs="Times New Roman"/>
          <w:b/>
          <w:bCs/>
          <w:color w:val="auto"/>
          <w:sz w:val="28"/>
        </w:rPr>
        <w:t>2.3.4.</w:t>
      </w:r>
      <w:r>
        <w:rPr>
          <w:rFonts w:hint="eastAsia" w:eastAsia="仿宋" w:cs="Times New Roman"/>
          <w:b/>
          <w:bCs/>
          <w:color w:val="auto"/>
          <w:sz w:val="28"/>
          <w:lang w:val="en-US" w:eastAsia="zh-CN"/>
        </w:rPr>
        <w:t>2</w:t>
      </w:r>
      <w:r>
        <w:rPr>
          <w:rFonts w:eastAsia="仿宋" w:cs="Times New Roman"/>
          <w:b/>
          <w:bCs/>
          <w:color w:val="auto"/>
          <w:sz w:val="28"/>
        </w:rPr>
        <w:t>生态系统类型</w:t>
      </w:r>
    </w:p>
    <w:p>
      <w:pPr>
        <w:ind w:firstLine="560"/>
        <w:rPr>
          <w:rFonts w:cs="Times New Roman"/>
          <w:color w:val="auto"/>
        </w:rPr>
      </w:pPr>
      <w:r>
        <w:rPr>
          <w:rFonts w:cs="Times New Roman"/>
          <w:color w:val="auto"/>
        </w:rPr>
        <w:t>绥棱县生态系统类型丰富多样，全县包含森林生态系统、湿地生态系统、草地生态系统、农田生态系统和城镇生态系统五大类，其中森林生态系统是主要的生态系统类型，林地面积2184.04平方公里，县域土地面积的占比50.65%，主要分布在绥棱县东北部及中部地区，包括松花江分局绥棱林业局、四海店镇、阁山镇、松花江分局沾河林业局和松花江分局通北林业局。受历史原因和长期人为活动影响，原始森林植被逐渐被天然次生林、人工林所替代，主要以山杨、柞树、樟子松、白桦等树种为主。湿地生态系统呈块状分布于绥棱努敏河省级自然保护区、黑龙江绥化绥棱七一省级森林公园和黑龙江绥化双岔河省级自然保护区，呈带状分布在克音河和努敏河两岸。草地生态系统主要分布于努敏河、克音河和墨尔根河流域两岸，绥棱县内无天然牧草地和人工牧草地，其他草地面积6299.9公顷，</w:t>
      </w:r>
      <w:r>
        <w:rPr>
          <w:rFonts w:hint="eastAsia" w:cs="Times New Roman"/>
          <w:color w:val="auto"/>
          <w:lang w:eastAsia="zh-CN"/>
        </w:rPr>
        <w:t>占</w:t>
      </w:r>
      <w:r>
        <w:rPr>
          <w:rFonts w:cs="Times New Roman"/>
          <w:color w:val="auto"/>
        </w:rPr>
        <w:t>县域土地面积的1.46%。绥棱县中部和西南部地势平缓，农田生态系统主要分布于此，包括农垦绥化管理局、四海店镇、长山镇、阁山镇、双岔河镇、克音河乡、绥中乡、上集镇、泥尔河乡、靠山乡和后头乡</w:t>
      </w:r>
      <w:r>
        <w:rPr>
          <w:rFonts w:hint="eastAsia" w:cs="Times New Roman"/>
          <w:color w:val="auto"/>
        </w:rPr>
        <w:t>，</w:t>
      </w:r>
      <w:r>
        <w:rPr>
          <w:rFonts w:cs="Times New Roman"/>
          <w:color w:val="auto"/>
        </w:rPr>
        <w:t>在绥棱县境内努敏河流域上游两岸也分布有少量农田。努敏河、克音河和墨尔根河流域两岸主要为水田，其他区域以旱田为主。城镇生态系统</w:t>
      </w:r>
      <w:r>
        <w:rPr>
          <w:rFonts w:hint="eastAsia" w:cs="Times New Roman"/>
          <w:color w:val="auto"/>
        </w:rPr>
        <w:t>主要</w:t>
      </w:r>
      <w:r>
        <w:rPr>
          <w:rFonts w:cs="Times New Roman"/>
          <w:color w:val="auto"/>
        </w:rPr>
        <w:t>分布于绥棱县西南部，为绥棱县中心城镇。</w:t>
      </w:r>
    </w:p>
    <w:p>
      <w:pPr>
        <w:pStyle w:val="5"/>
        <w:spacing w:after="156" w:afterLines="50"/>
        <w:ind w:firstLine="0" w:firstLineChars="0"/>
        <w:rPr>
          <w:rFonts w:eastAsia="仿宋" w:cs="Times New Roman"/>
          <w:b/>
          <w:bCs/>
          <w:color w:val="auto"/>
          <w:sz w:val="28"/>
        </w:rPr>
      </w:pPr>
      <w:r>
        <w:rPr>
          <w:rFonts w:eastAsia="仿宋" w:cs="Times New Roman"/>
          <w:b/>
          <w:bCs/>
          <w:color w:val="auto"/>
          <w:sz w:val="28"/>
        </w:rPr>
        <w:t>2.3.4.</w:t>
      </w:r>
      <w:r>
        <w:rPr>
          <w:rFonts w:hint="eastAsia" w:eastAsia="仿宋" w:cs="Times New Roman"/>
          <w:b/>
          <w:bCs/>
          <w:color w:val="auto"/>
          <w:sz w:val="28"/>
          <w:lang w:val="en-US" w:eastAsia="zh-CN"/>
        </w:rPr>
        <w:t>3</w:t>
      </w:r>
      <w:r>
        <w:rPr>
          <w:rFonts w:eastAsia="仿宋" w:cs="Times New Roman"/>
          <w:b/>
          <w:bCs/>
          <w:color w:val="auto"/>
          <w:sz w:val="28"/>
        </w:rPr>
        <w:t>生物多样性</w:t>
      </w:r>
    </w:p>
    <w:p>
      <w:pPr>
        <w:ind w:firstLine="560"/>
        <w:rPr>
          <w:rFonts w:cs="Times New Roman"/>
          <w:color w:val="auto"/>
        </w:rPr>
      </w:pPr>
      <w:r>
        <w:rPr>
          <w:rFonts w:cs="Times New Roman"/>
          <w:color w:val="auto"/>
        </w:rPr>
        <w:t xml:space="preserve">绥棱县内现有 1 个国家级森林公园（黑龙江大青观国家森林公园）、2 个省级森林公园（黑龙江绥化绥棱七一省级森林公园和黑龙江绥化绥棱白马石省级森林公园）、 </w:t>
      </w:r>
      <w:r>
        <w:rPr>
          <w:rFonts w:hint="eastAsia" w:cs="Times New Roman"/>
          <w:color w:val="auto"/>
        </w:rPr>
        <w:t>2</w:t>
      </w:r>
      <w:r>
        <w:rPr>
          <w:rFonts w:cs="Times New Roman"/>
          <w:color w:val="auto"/>
        </w:rPr>
        <w:t>个省级自然保护区（绥棱努敏河省级自然保护区和黑龙江绥化双岔河省级自然保护区）和1个县级自然保护区（黑龙江绥棱县四海店林木自然保护区）。</w:t>
      </w:r>
    </w:p>
    <w:p>
      <w:pPr>
        <w:ind w:firstLine="560"/>
        <w:rPr>
          <w:rFonts w:cs="Times New Roman"/>
          <w:color w:val="auto"/>
        </w:rPr>
      </w:pPr>
      <w:r>
        <w:rPr>
          <w:rFonts w:cs="Times New Roman"/>
          <w:color w:val="auto"/>
        </w:rPr>
        <w:t>（1）黑龙江大青观国家森林公园</w:t>
      </w:r>
    </w:p>
    <w:p>
      <w:pPr>
        <w:ind w:firstLine="560"/>
        <w:rPr>
          <w:rFonts w:cs="Times New Roman"/>
          <w:color w:val="auto"/>
        </w:rPr>
      </w:pPr>
      <w:r>
        <w:rPr>
          <w:rFonts w:cs="Times New Roman"/>
          <w:color w:val="auto"/>
        </w:rPr>
        <w:t>黑龙江大青观国家森林公园位于绥棱国有林场管理局半截河林场施业区、阁山林场施业区和阁山水库库区部分范围内，分为两个独立的片区，公园规划总面积5591公顷。</w:t>
      </w:r>
    </w:p>
    <w:p>
      <w:pPr>
        <w:ind w:firstLine="560"/>
        <w:rPr>
          <w:rFonts w:cs="Times New Roman"/>
          <w:color w:val="auto"/>
        </w:rPr>
      </w:pPr>
      <w:r>
        <w:rPr>
          <w:rFonts w:cs="Times New Roman"/>
          <w:color w:val="auto"/>
        </w:rPr>
        <w:t>大青观片区：位于绥棱国有林场管理局半截河林场施业区内，面积为4243公顷。地理坐标为：东经127°35′12″-127°42′38″，北纬47°39′04″-47°43′44″。</w:t>
      </w:r>
    </w:p>
    <w:p>
      <w:pPr>
        <w:ind w:firstLine="560"/>
        <w:rPr>
          <w:rFonts w:cs="Times New Roman"/>
          <w:color w:val="auto"/>
        </w:rPr>
      </w:pPr>
      <w:r>
        <w:rPr>
          <w:rFonts w:cs="Times New Roman"/>
          <w:color w:val="auto"/>
        </w:rPr>
        <w:t>阁山片区：规划面积为1348公顷，地理坐标为：东经127°27′34.04"-127°33′30.44"，北纬47°20′45.63"-47°22′23.53</w:t>
      </w:r>
      <w:r>
        <w:rPr>
          <w:rFonts w:hint="eastAsia" w:cs="Times New Roman"/>
          <w:color w:val="auto"/>
          <w:lang w:eastAsia="zh-CN"/>
        </w:rPr>
        <w:t>”。</w:t>
      </w:r>
    </w:p>
    <w:p>
      <w:pPr>
        <w:ind w:firstLine="560"/>
        <w:rPr>
          <w:rFonts w:cs="Times New Roman"/>
          <w:color w:val="auto"/>
        </w:rPr>
      </w:pPr>
      <w:r>
        <w:rPr>
          <w:rFonts w:cs="Times New Roman"/>
          <w:color w:val="auto"/>
        </w:rPr>
        <w:t>本区地处小兴安岭西坡余脉，区内主要为低山丘陵，且处于温带季风气候区，阳光充足，降水量充沛，气候条件良好，有利于多种植物生长。因此，公园内的植物相对较丰富，据调查和历史资料统计，公园共有高等植物700多种。其中蕨类植物28种，约占小兴安岭的68.75％；裸子植物5种，占小兴安岭地区的62.5％；被子植物569种，占小兴安岭地区的56％。在这些高等植物中有维管植物602种，占小兴安岭地区的57.3％。在本区的植物种类中，种类较多、分布广泛的优势科依次为菊科、蔷薇科、毛莨科、禾本科、莎草科、虎耳科、豆科、唇形科等，且上述几科的植物种类数均超过10种。公园内地带性植被包括红松针阔叶混交林（简称阔叶红松林）和落叶阔叶林，阔叶红松林总面积约为520公顷，针叶树种主要是红松，阔叶树种主要有紫椴、蒙古栎、水曲柳、春榆、裂叶榆、大青杨及槭属的色木槭、拧筋槭等，这些都是长白植物区系的代表种。此外，调查样地内还包括一些南鄂霍次克植物区系的物种，如臭冷杉、沙松、冷杉等，以及一些典型的藤本植物，如山葡萄和狗枣猕猴桃等。落叶阔叶林面积约2200公顷，树种以水曲柳、</w:t>
      </w:r>
      <w:r>
        <w:rPr>
          <w:rFonts w:hint="eastAsia" w:cs="Times New Roman"/>
          <w:color w:val="auto"/>
          <w:lang w:eastAsia="zh-CN"/>
        </w:rPr>
        <w:t>黄菠萝</w:t>
      </w:r>
      <w:r>
        <w:rPr>
          <w:rFonts w:cs="Times New Roman"/>
          <w:color w:val="auto"/>
        </w:rPr>
        <w:t>、蒙古栎等为主，其次是白桦、山杨、榆树、紫椴、色木槭等，森林群落的优势种比较明显。</w:t>
      </w:r>
    </w:p>
    <w:p>
      <w:pPr>
        <w:ind w:firstLine="560"/>
        <w:rPr>
          <w:rFonts w:cs="Times New Roman"/>
          <w:color w:val="auto"/>
        </w:rPr>
      </w:pPr>
      <w:r>
        <w:rPr>
          <w:rFonts w:cs="Times New Roman"/>
          <w:color w:val="auto"/>
        </w:rPr>
        <w:t>本区境内生境类型多样，有山地森林，林间草甸与沼泽，河流及泡沼等。多样的生境类型及较好的保存状态，使分布在这里的野生动物资源十分丰富，分布有狍、紫貂、松鼠、赤狐、黑鸢、长耳鸮等共有脊椎动物290种。</w:t>
      </w:r>
    </w:p>
    <w:p>
      <w:pPr>
        <w:ind w:firstLine="560"/>
        <w:rPr>
          <w:rFonts w:cs="Times New Roman"/>
          <w:color w:val="auto"/>
        </w:rPr>
      </w:pPr>
      <w:r>
        <w:rPr>
          <w:rFonts w:hint="eastAsia" w:cs="Times New Roman"/>
          <w:color w:val="auto"/>
          <w:lang w:val="en-US" w:eastAsia="zh-CN"/>
        </w:rPr>
        <w:t>总体目标：以森林生态保护为前提，以科学发展为引领，立足森林生态景观和红色旅游资源特色，将大青观森林公园建成为集森林观光、休闲度假、科普教育、康养娱乐、红色旅游教育、户外运动于一体的综合性森林生态旅游度假区，同时，也使其成为小兴安岭向松嫩平原过渡区生态保护的基地。</w:t>
      </w:r>
    </w:p>
    <w:p>
      <w:pPr>
        <w:ind w:firstLine="560"/>
        <w:rPr>
          <w:rFonts w:cs="Times New Roman"/>
          <w:color w:val="auto"/>
        </w:rPr>
      </w:pPr>
      <w:r>
        <w:rPr>
          <w:rFonts w:cs="Times New Roman"/>
          <w:color w:val="auto"/>
        </w:rPr>
        <w:t>（2）黑龙江绥化绥棱七一省级森林公园</w:t>
      </w:r>
    </w:p>
    <w:p>
      <w:pPr>
        <w:ind w:firstLine="560"/>
        <w:rPr>
          <w:rFonts w:cs="Times New Roman"/>
          <w:color w:val="auto"/>
        </w:rPr>
      </w:pPr>
      <w:r>
        <w:rPr>
          <w:rFonts w:cs="Times New Roman"/>
          <w:color w:val="auto"/>
        </w:rPr>
        <w:t>绥棱七一省级森林公园总面积1700公顷，地理坐标为东经127°56′53″，北纬47°43′48″。</w:t>
      </w:r>
    </w:p>
    <w:p>
      <w:pPr>
        <w:ind w:firstLine="560"/>
        <w:rPr>
          <w:rFonts w:cs="Times New Roman"/>
          <w:color w:val="auto"/>
        </w:rPr>
      </w:pPr>
      <w:r>
        <w:rPr>
          <w:rFonts w:cs="Times New Roman"/>
          <w:color w:val="auto"/>
        </w:rPr>
        <w:t>公园内主要森林类型是针阔混交林和阔叶混交林。乔木树种有红松、云杉、冷杉、兴安落叶松、桦树、椴树、色树、柞树、杨树、榆树、水曲柳、胡桃楸、黄菠萝等。下木有：榛子、忍冬、白丁香、山梅花、暴马丁香（白丁香）及山葡萄、五味子等藤本植物，党参、黄芪、元胡、刺五加、五味子等药用植物。主要地被物有苔草、沙草、大小叶樟、蕨类、木贼等草本植物。主要地被物有苔草、沙草、大小叶樟、蕨类、木贼等草本植物。该区有国家保护Ⅱ级保护野生植物红松、水曲柳、黄檗（黄菠萝）、紫椴；Ⅱ级珍贵树种椴木、核桃楸、蒙古栎。公园内的景观资源几乎囊括了小兴安岭山脉的所有森林植被类型，最大限度地保存了第三纪植物群落的结构特征，是小兴安岭森林生态环境的典型代表。</w:t>
      </w:r>
    </w:p>
    <w:p>
      <w:pPr>
        <w:ind w:firstLine="560"/>
        <w:rPr>
          <w:rFonts w:cs="Times New Roman"/>
          <w:color w:val="auto"/>
        </w:rPr>
      </w:pPr>
      <w:r>
        <w:rPr>
          <w:rFonts w:cs="Times New Roman"/>
          <w:color w:val="auto"/>
        </w:rPr>
        <w:t>公园内主要野生动物资源：马鹿、猞猁、黄鼬、松鼠、狍子、野猪、黑熊、赤狐、野兔、豹猫、东北兔、飞龙、野鸡、树鸡、沙半鸡、绿头鸭、林蛙、黑斑蛙、鸳鸯、花尾榛鸡及蛇等。</w:t>
      </w:r>
    </w:p>
    <w:p>
      <w:pPr>
        <w:ind w:firstLine="560"/>
        <w:rPr>
          <w:rFonts w:cs="Times New Roman"/>
          <w:color w:val="auto"/>
        </w:rPr>
      </w:pPr>
      <w:r>
        <w:rPr>
          <w:rFonts w:hint="eastAsia" w:cs="Times New Roman"/>
          <w:color w:val="auto"/>
          <w:lang w:val="en-US" w:eastAsia="zh-CN"/>
        </w:rPr>
        <w:t>发展定位：以保护好七一森林公园内植被、地貌、水体、野生动植物等自然资源，维护区域内的生态环境为宗旨，以生态旅游为主题，建设旅游服务中心基础设施，把绥棱林业局七一森林公园建设成为生态旅游目的地，实现风景区生态效益、社会效益和经济效益的完美统一。</w:t>
      </w:r>
    </w:p>
    <w:p>
      <w:pPr>
        <w:ind w:firstLine="560"/>
        <w:rPr>
          <w:rFonts w:cs="Times New Roman"/>
          <w:color w:val="auto"/>
        </w:rPr>
      </w:pPr>
      <w:r>
        <w:rPr>
          <w:rFonts w:cs="Times New Roman"/>
          <w:color w:val="auto"/>
        </w:rPr>
        <w:t>（3）黑龙江绥化绥棱白马石省级森林公园</w:t>
      </w:r>
    </w:p>
    <w:p>
      <w:pPr>
        <w:ind w:firstLine="560"/>
        <w:rPr>
          <w:rFonts w:cs="Times New Roman"/>
          <w:color w:val="auto"/>
        </w:rPr>
      </w:pPr>
      <w:r>
        <w:rPr>
          <w:rFonts w:cs="Times New Roman"/>
          <w:color w:val="auto"/>
        </w:rPr>
        <w:t>绥棱林业局白马石森林公园隶属于绥棱林业局，南北长 132 公里，东西宽 82 公里，白马石森林公园总面积 6800 公顷。地 理 坐 标：东经127°36′46″—127°45′06″，北纬 47°31′34″—47°40′56″。</w:t>
      </w:r>
    </w:p>
    <w:p>
      <w:pPr>
        <w:ind w:firstLine="560"/>
        <w:rPr>
          <w:rFonts w:cs="Times New Roman"/>
          <w:color w:val="auto"/>
        </w:rPr>
      </w:pPr>
      <w:r>
        <w:rPr>
          <w:rFonts w:cs="Times New Roman"/>
          <w:color w:val="auto"/>
        </w:rPr>
        <w:t>绥棱白马石森林公园地处小兴安岭南坡，属于长白山植物区系小兴安岭植物亚区。主要森林类型是针阔混交林和阔叶混交林。乔木树种有红松、云杉、冷杉、兴安落叶松、桦树、椴树、色树、柞树、杨树、榆树、水曲柳、胡桃楸、黄菠萝等。下木有：榛子、忍冬、山梅花、暴马丁香、山葡萄、五味子等藤本植物，刺五加、五味子等药用植物。有国家Ⅱ级保护野生植物红松、水曲柳、黄檗（黄菠萝）、紫椴；国家Ⅱ级珍贵树种核桃楸、蒙古栎；国家重点保护野生药用植物五味子、刺五加。</w:t>
      </w:r>
    </w:p>
    <w:p>
      <w:pPr>
        <w:ind w:firstLine="560"/>
        <w:rPr>
          <w:rFonts w:cs="Times New Roman"/>
          <w:color w:val="auto"/>
        </w:rPr>
      </w:pPr>
      <w:r>
        <w:rPr>
          <w:rFonts w:cs="Times New Roman"/>
          <w:color w:val="auto"/>
        </w:rPr>
        <w:t>公园内主要野生动物资源包括：兽类有马鹿、驼鹿、猞猁、黄鼬、松鼠、狍子、野猪、黑熊、赤狐、狼、豹猫；鸟类有赤麻鸭、罗纹鸭、绿头鸭、鸳鸯、斑嘴鸭、苍鹰、雀鹰、松雀鹰、普通鵟、金雕、红隼、燕隼、雉鸡、花尾榛鸡；爬行类和两栖类有棕黑锦蛇、白条锦蛇、红点锦蛇、蝮蛇、中华蟾蜍、黑斑蛙、中国林蛙、黑龙江林蛙；鱼类有鲤鱼、鲢鱼、鲫鱼、柳根子（</w:t>
      </w:r>
      <w:r>
        <w:rPr>
          <w:rFonts w:cs="Times New Roman"/>
          <w:i/>
          <w:iCs/>
          <w:color w:val="auto"/>
        </w:rPr>
        <w:t>Phoxinus lago wskii Dybowski</w:t>
      </w:r>
      <w:r>
        <w:rPr>
          <w:rFonts w:cs="Times New Roman"/>
          <w:color w:val="auto"/>
        </w:rPr>
        <w:t>）、草鱼、鲶鱼、细鳞鱼、老头鱼（</w:t>
      </w:r>
      <w:r>
        <w:rPr>
          <w:rFonts w:cs="Times New Roman"/>
          <w:i/>
          <w:iCs/>
          <w:color w:val="auto"/>
        </w:rPr>
        <w:t>Perccottusglenii</w:t>
      </w:r>
      <w:r>
        <w:rPr>
          <w:rFonts w:cs="Times New Roman"/>
          <w:color w:val="auto"/>
        </w:rPr>
        <w:t>）等。据调查和资料统计，重点保护的兽类 7 科 11 种，重点保护的鸟类 4科 14 种，重点保护的爬行类动物 2 科 4 种，重点保护的两栖类 2 科 4种，野生鱼类有 4 科 8 种。</w:t>
      </w:r>
    </w:p>
    <w:p>
      <w:pPr>
        <w:ind w:firstLine="560"/>
        <w:rPr>
          <w:rFonts w:hint="default" w:cs="Times New Roman"/>
          <w:color w:val="auto"/>
          <w:lang w:val="en-US" w:eastAsia="zh-CN"/>
        </w:rPr>
      </w:pPr>
      <w:r>
        <w:rPr>
          <w:rFonts w:hint="eastAsia" w:cs="Times New Roman"/>
          <w:color w:val="auto"/>
          <w:lang w:val="en-US" w:eastAsia="zh-CN"/>
        </w:rPr>
        <w:t>发展定位：以山水森林游憩为主体，以红色旅游和生态旅游为主题，以保护好白马石森林公园内植被、地貌、水体、野生动植物等自然资源，维护区域内的生态环境为宗旨，建设白马石森林公园旅游服务中心基础设施，建成集旅游观光、娱乐观赏、度假疗养、教学实习、野营登山等多功能为一体的生态型森林公园。</w:t>
      </w:r>
    </w:p>
    <w:p>
      <w:pPr>
        <w:ind w:firstLine="560"/>
        <w:rPr>
          <w:rFonts w:cs="Times New Roman"/>
          <w:color w:val="auto"/>
        </w:rPr>
      </w:pPr>
      <w:r>
        <w:rPr>
          <w:rFonts w:cs="Times New Roman"/>
          <w:color w:val="auto"/>
        </w:rPr>
        <w:t>（4）绥棱努敏河省级自然保护区</w:t>
      </w:r>
    </w:p>
    <w:p>
      <w:pPr>
        <w:ind w:firstLine="560"/>
        <w:rPr>
          <w:rFonts w:cs="Times New Roman"/>
          <w:color w:val="auto"/>
        </w:rPr>
      </w:pPr>
      <w:r>
        <w:rPr>
          <w:rFonts w:cs="Times New Roman"/>
          <w:color w:val="auto"/>
        </w:rPr>
        <w:t>绥棱努敏河自然保护区总面积50025hm</w:t>
      </w:r>
      <w:r>
        <w:rPr>
          <w:rFonts w:cs="Times New Roman"/>
          <w:color w:val="auto"/>
          <w:vertAlign w:val="superscript"/>
        </w:rPr>
        <w:t>2</w:t>
      </w:r>
      <w:r>
        <w:rPr>
          <w:rFonts w:cs="Times New Roman"/>
          <w:color w:val="auto"/>
        </w:rPr>
        <w:t>，东与黑龙江友好林业局相接，南与绥棱林业局施业区相接壤，西靠通北林业局，北与沾河林业局相接壤。地理坐标为东经127°42′37″—127°50′36″，北纬47°56′45″—48°06′00″。</w:t>
      </w:r>
    </w:p>
    <w:p>
      <w:pPr>
        <w:ind w:firstLine="560"/>
        <w:rPr>
          <w:rFonts w:cs="Times New Roman"/>
          <w:color w:val="auto"/>
        </w:rPr>
      </w:pPr>
      <w:r>
        <w:rPr>
          <w:rFonts w:cs="Times New Roman"/>
          <w:color w:val="auto"/>
        </w:rPr>
        <w:t>本地区处于小兴安岭南麓，主要森林类型是针阔混交林和阔叶混交林。主要乔木树种有红松、桦树、榆树、柞树、</w:t>
      </w:r>
      <w:r>
        <w:rPr>
          <w:rFonts w:hint="eastAsia" w:cs="Times New Roman"/>
          <w:color w:val="auto"/>
          <w:lang w:eastAsia="zh-CN"/>
        </w:rPr>
        <w:t>胡桃</w:t>
      </w:r>
      <w:r>
        <w:rPr>
          <w:rFonts w:cs="Times New Roman"/>
          <w:color w:val="auto"/>
        </w:rPr>
        <w:t>楸、水曲柳、黄檗等；下木为忍冬、榛、山梅花、暴马子及山葡萄、五味子等藤本植物。自然保护区内还分布有经济价值较高的刺五加、党参等药用植物。本区的森林资源主要分布在北股流、老股流流域，即在保护区的核心区边缘地带。植物区系极为丰富，种属分布较为广泛。自然保护区内共有植物618种，其中苔藓植物6科15种、蕨类植物12科23种、裸子植物1科6种、被子植物90科574种。本区种类多，分布广的优势植物有葡萄科、蔷薇科、毛茛科、杨柳科、禾本科等。除蔷薇科、杨柳科、豆科含有木本植物外，其余各科均为草本，构成了该区的优势草本植物。保护区有国家重点保护植物9种：红松、水曲柳、胡桃楸、钻天柳、黄檗、紫椴、狐尾藻、野大豆和刺五加。</w:t>
      </w:r>
    </w:p>
    <w:p>
      <w:pPr>
        <w:ind w:firstLine="560"/>
        <w:rPr>
          <w:rFonts w:cs="Times New Roman"/>
          <w:color w:val="auto"/>
        </w:rPr>
      </w:pPr>
      <w:r>
        <w:rPr>
          <w:rFonts w:cs="Times New Roman"/>
          <w:color w:val="auto"/>
        </w:rPr>
        <w:t>努敏河自然保护区分布的鱼类有7科31种，占黑龙江省鱼类种数的29.5％：两栖类4科9种，占黑龙江省种数81.81％；爬行类动物4科9种，占黑龙江省种数64.28％；鸟类41科205种，占59.8％；兽类分布14科41种，占46.59％。其中国家I级保护动物有金鵰、丹顶鹤、白头鹤等3种，国家Ⅱ级保护动物有灰鹤、白枕鹤、毛脚，长尾林、黑熊、棕熊、马鹿等31种。</w:t>
      </w:r>
    </w:p>
    <w:p>
      <w:pPr>
        <w:ind w:firstLine="560"/>
        <w:rPr>
          <w:rFonts w:hint="eastAsia" w:cs="Times New Roman"/>
          <w:color w:val="auto"/>
          <w:lang w:val="en-US" w:eastAsia="zh-CN"/>
        </w:rPr>
      </w:pPr>
      <w:r>
        <w:rPr>
          <w:rFonts w:hint="eastAsia" w:cs="Times New Roman"/>
          <w:color w:val="auto"/>
          <w:lang w:val="en-US" w:eastAsia="zh-CN"/>
        </w:rPr>
        <w:t>总体目标：通过对保护区实施全面的保护和恢复，使其较为原始和完整的湿地生态系统和百年天然次生林得到切实的保护；通过准确细致的科研监测，了解和掌握这些生态系统的演变规律；通过保护区基础设施建设，切实保护好区内的野生动植物资源与自然景观资源，并达到科学合理地利用保护区内的自然资源来带动周边经济的可持续发展。</w:t>
      </w:r>
    </w:p>
    <w:p>
      <w:pPr>
        <w:ind w:firstLine="560"/>
        <w:rPr>
          <w:rFonts w:cs="Times New Roman"/>
          <w:color w:val="auto"/>
        </w:rPr>
      </w:pPr>
      <w:r>
        <w:rPr>
          <w:rFonts w:cs="Times New Roman"/>
          <w:color w:val="auto"/>
        </w:rPr>
        <w:t>（</w:t>
      </w:r>
      <w:r>
        <w:rPr>
          <w:rFonts w:hint="eastAsia" w:cs="Times New Roman"/>
          <w:color w:val="auto"/>
        </w:rPr>
        <w:t>5</w:t>
      </w:r>
      <w:r>
        <w:rPr>
          <w:rFonts w:cs="Times New Roman"/>
          <w:color w:val="auto"/>
        </w:rPr>
        <w:t>）黑龙江绥棱县四海店林木自然保护区</w:t>
      </w:r>
    </w:p>
    <w:p>
      <w:pPr>
        <w:ind w:firstLine="560"/>
        <w:rPr>
          <w:rFonts w:cs="Times New Roman"/>
          <w:color w:val="auto"/>
        </w:rPr>
      </w:pPr>
      <w:r>
        <w:rPr>
          <w:rFonts w:cs="Times New Roman"/>
          <w:color w:val="auto"/>
        </w:rPr>
        <w:t>黑龙江绥棱县四海店林木自然保护区总面积350hm</w:t>
      </w:r>
      <w:r>
        <w:rPr>
          <w:rFonts w:cs="Times New Roman"/>
          <w:color w:val="auto"/>
          <w:vertAlign w:val="superscript"/>
        </w:rPr>
        <w:t>2</w:t>
      </w:r>
      <w:r>
        <w:rPr>
          <w:rFonts w:cs="Times New Roman"/>
          <w:color w:val="auto"/>
        </w:rPr>
        <w:t>，为县级保护区，地理坐标为N47°28′48.98″~47°30′02.45″，E 127°27′54.87″~127°30′01.56″。</w:t>
      </w:r>
    </w:p>
    <w:p>
      <w:pPr>
        <w:ind w:firstLine="560"/>
        <w:rPr>
          <w:rFonts w:cs="Times New Roman"/>
          <w:color w:val="auto"/>
        </w:rPr>
      </w:pPr>
      <w:r>
        <w:rPr>
          <w:rFonts w:cs="Times New Roman"/>
          <w:color w:val="auto"/>
        </w:rPr>
        <w:t>黑龙江绥棱县四海店林木自然保护区属于长白植物区系，地带性植被是以红松、云杉（</w:t>
      </w:r>
      <w:r>
        <w:rPr>
          <w:rFonts w:cs="Times New Roman"/>
          <w:i/>
          <w:iCs/>
          <w:color w:val="auto"/>
        </w:rPr>
        <w:t>Picea asperata Mast</w:t>
      </w:r>
      <w:r>
        <w:rPr>
          <w:rFonts w:cs="Times New Roman"/>
          <w:color w:val="auto"/>
        </w:rPr>
        <w:t>）为主的针阔叶混交林。由于历史上的林业开采，已经失去原有的风光，原来的参天森林，已遭到破坏。现除保护区北部尚保留少量的红松、水曲柳等珍贵树种外，大部分已演替为天然次生林。</w:t>
      </w:r>
    </w:p>
    <w:p>
      <w:pPr>
        <w:ind w:firstLine="560"/>
        <w:rPr>
          <w:rFonts w:cs="Times New Roman"/>
          <w:color w:val="auto"/>
        </w:rPr>
      </w:pPr>
      <w:r>
        <w:rPr>
          <w:rFonts w:cs="Times New Roman"/>
          <w:color w:val="auto"/>
        </w:rPr>
        <w:t>保护区共有高等植物58科228种，其中苔藓植物6科11种，蕨类植物4科6种，被子植物48科211种。分布有脊椎动物49科132种，其中，兽类4目9科18种，鸟类15目33科106种，爬行类动物2目3科3种，两栖类动物2目4科5种。昆虫类动物8目48科237种。保护区有国家</w:t>
      </w:r>
      <w:r>
        <w:rPr>
          <w:rFonts w:hint="eastAsia" w:cs="Times New Roman"/>
          <w:color w:val="auto"/>
          <w:lang w:eastAsia="zh-CN"/>
        </w:rPr>
        <w:t>Ⅱ级</w:t>
      </w:r>
      <w:r>
        <w:rPr>
          <w:rFonts w:cs="Times New Roman"/>
          <w:color w:val="auto"/>
        </w:rPr>
        <w:t>保护野生植物3种，为即红松、水曲柳（</w:t>
      </w:r>
      <w:r>
        <w:rPr>
          <w:rFonts w:cs="Times New Roman"/>
          <w:i/>
          <w:iCs/>
          <w:color w:val="auto"/>
        </w:rPr>
        <w:t>Fraxinus mandshrica</w:t>
      </w:r>
      <w:r>
        <w:rPr>
          <w:rFonts w:cs="Times New Roman"/>
          <w:color w:val="auto"/>
        </w:rPr>
        <w:t>）、黄檗（</w:t>
      </w:r>
      <w:r>
        <w:rPr>
          <w:rFonts w:cs="Times New Roman"/>
          <w:i/>
          <w:iCs/>
          <w:color w:val="auto"/>
        </w:rPr>
        <w:t>Phellodendron amurense</w:t>
      </w:r>
      <w:r>
        <w:rPr>
          <w:rFonts w:cs="Times New Roman"/>
          <w:color w:val="auto"/>
        </w:rPr>
        <w:t>）；国家重点保护野生动物15种，其中国家I级保护鸟类1种，为金雕；国家</w:t>
      </w:r>
      <w:r>
        <w:rPr>
          <w:rFonts w:hint="eastAsia" w:cs="Times New Roman"/>
          <w:color w:val="auto"/>
          <w:lang w:eastAsia="zh-CN"/>
        </w:rPr>
        <w:t>Ⅱ级</w:t>
      </w:r>
      <w:r>
        <w:rPr>
          <w:rFonts w:cs="Times New Roman"/>
          <w:color w:val="auto"/>
        </w:rPr>
        <w:t>保护鸟类14种，为长耳鸮（</w:t>
      </w:r>
      <w:r>
        <w:rPr>
          <w:rFonts w:cs="Times New Roman"/>
          <w:i/>
          <w:iCs/>
          <w:color w:val="auto"/>
        </w:rPr>
        <w:t>Asio otus</w:t>
      </w:r>
      <w:r>
        <w:rPr>
          <w:rFonts w:cs="Times New Roman"/>
          <w:color w:val="auto"/>
        </w:rPr>
        <w:t>）、白尾鹞（</w:t>
      </w:r>
      <w:r>
        <w:rPr>
          <w:rFonts w:cs="Times New Roman"/>
          <w:i/>
          <w:iCs/>
          <w:color w:val="auto"/>
        </w:rPr>
        <w:t>Circus cyaneus</w:t>
      </w:r>
      <w:r>
        <w:rPr>
          <w:rFonts w:cs="Times New Roman"/>
          <w:color w:val="auto"/>
        </w:rPr>
        <w:t>）、花尾榛鸡等。</w:t>
      </w:r>
    </w:p>
    <w:p>
      <w:pPr>
        <w:ind w:firstLine="560"/>
        <w:rPr>
          <w:rFonts w:hint="eastAsia" w:cs="Times New Roman"/>
          <w:color w:val="auto"/>
          <w:lang w:val="en-US" w:eastAsia="zh-CN"/>
        </w:rPr>
      </w:pPr>
      <w:r>
        <w:rPr>
          <w:rFonts w:hint="eastAsia" w:cs="Times New Roman"/>
          <w:color w:val="auto"/>
          <w:lang w:val="en-US" w:eastAsia="zh-CN"/>
        </w:rPr>
        <w:t>总体目标：实现对森林生态系统及其珍稀动植物资源的有效保护，建立科研监测体系，全面提升保护区建设质量和管护水平，保持生态系统和自然景观的完整性，维护生物多样性的基本稳定；协调保护与发展的关系，充分发挥保护区的多功能效益；逐步将黑龙江绥棱县四海店林木自然保护区建设成为基础设施完备、管理高效、科研监测手段先进、功能齐全、社区经济协调发展的综合性保护区。</w:t>
      </w:r>
    </w:p>
    <w:p>
      <w:pPr>
        <w:ind w:firstLine="560"/>
        <w:rPr>
          <w:rFonts w:cs="Times New Roman"/>
          <w:color w:val="auto"/>
        </w:rPr>
      </w:pPr>
      <w:r>
        <w:rPr>
          <w:rFonts w:cs="Times New Roman"/>
          <w:color w:val="auto"/>
        </w:rPr>
        <w:t>（</w:t>
      </w:r>
      <w:r>
        <w:rPr>
          <w:rFonts w:hint="eastAsia" w:cs="Times New Roman"/>
          <w:color w:val="auto"/>
          <w:lang w:val="en-US" w:eastAsia="zh-CN"/>
        </w:rPr>
        <w:t>6</w:t>
      </w:r>
      <w:r>
        <w:rPr>
          <w:rFonts w:cs="Times New Roman"/>
          <w:color w:val="auto"/>
        </w:rPr>
        <w:t>）黑龙江绥化双岔河省级自然保护区</w:t>
      </w:r>
    </w:p>
    <w:p>
      <w:pPr>
        <w:ind w:firstLine="560"/>
        <w:rPr>
          <w:rFonts w:cs="Times New Roman"/>
          <w:color w:val="auto"/>
        </w:rPr>
      </w:pPr>
      <w:r>
        <w:rPr>
          <w:rFonts w:cs="Times New Roman"/>
          <w:color w:val="auto"/>
        </w:rPr>
        <w:t>黑龙江双岔河湿地自然保护区总面积为10699hm</w:t>
      </w:r>
      <w:r>
        <w:rPr>
          <w:rFonts w:cs="Times New Roman"/>
          <w:color w:val="auto"/>
          <w:vertAlign w:val="superscript"/>
        </w:rPr>
        <w:t>2</w:t>
      </w:r>
      <w:r>
        <w:rPr>
          <w:rFonts w:cs="Times New Roman"/>
          <w:color w:val="auto"/>
        </w:rPr>
        <w:t>，其中湿地面积为4715hm</w:t>
      </w:r>
      <w:r>
        <w:rPr>
          <w:rFonts w:cs="Times New Roman"/>
          <w:color w:val="auto"/>
          <w:vertAlign w:val="superscript"/>
        </w:rPr>
        <w:t>2</w:t>
      </w:r>
      <w:r>
        <w:rPr>
          <w:rFonts w:cs="Times New Roman"/>
          <w:color w:val="auto"/>
        </w:rPr>
        <w:t>，有林地面积5714hm</w:t>
      </w:r>
      <w:r>
        <w:rPr>
          <w:rFonts w:cs="Times New Roman"/>
          <w:color w:val="auto"/>
          <w:vertAlign w:val="superscript"/>
        </w:rPr>
        <w:t>2</w:t>
      </w:r>
      <w:r>
        <w:rPr>
          <w:rFonts w:hint="eastAsia" w:cs="Times New Roman"/>
          <w:color w:val="auto"/>
          <w:vertAlign w:val="superscript"/>
          <w:lang w:eastAsia="zh-CN"/>
        </w:rPr>
        <w:t>和其他</w:t>
      </w:r>
      <w:r>
        <w:rPr>
          <w:rFonts w:cs="Times New Roman"/>
          <w:color w:val="auto"/>
        </w:rPr>
        <w:t>面积270hm</w:t>
      </w:r>
      <w:r>
        <w:rPr>
          <w:rFonts w:cs="Times New Roman"/>
          <w:color w:val="auto"/>
          <w:vertAlign w:val="superscript"/>
        </w:rPr>
        <w:t>2</w:t>
      </w:r>
      <w:r>
        <w:rPr>
          <w:rFonts w:cs="Times New Roman"/>
          <w:color w:val="auto"/>
        </w:rPr>
        <w:t>，分别占保护区总面积的44.1%、53.4%和2.5%，是黑龙江省小兴安岭林区温带森林湿地生态系统自然保护区中面积较大、保存最完整的、最为典型、生态环境保护和保护区发展建设最具潜力和保护价值的自然保护区之一，也是我国北方地区典型的森林湿地生态系统。</w:t>
      </w:r>
    </w:p>
    <w:p>
      <w:pPr>
        <w:ind w:firstLine="560"/>
        <w:rPr>
          <w:rFonts w:cs="Times New Roman"/>
          <w:color w:val="auto"/>
        </w:rPr>
      </w:pPr>
      <w:r>
        <w:rPr>
          <w:rFonts w:cs="Times New Roman"/>
          <w:color w:val="auto"/>
        </w:rPr>
        <w:t>保护区东与黑龙江省绥棱林业局接壤，西至四海店林场部分施业区内，南与三吉台林场为邻，北与海伦市相望。地理坐标为东经127°28′22″～127°42′38″，北纬47°33′34″～47°43′42″。</w:t>
      </w:r>
    </w:p>
    <w:p>
      <w:pPr>
        <w:ind w:right="-5" w:firstLine="560"/>
        <w:rPr>
          <w:rFonts w:eastAsia="仿宋_GB2312" w:cs="Times New Roman"/>
          <w:color w:val="auto"/>
        </w:rPr>
      </w:pPr>
      <w:r>
        <w:rPr>
          <w:rFonts w:eastAsia="仿宋_GB2312" w:cs="Times New Roman"/>
          <w:color w:val="auto"/>
        </w:rPr>
        <w:t>黑龙江双岔河湿地保护区属于长白植物区系，是以红松、云杉(</w:t>
      </w:r>
      <w:r>
        <w:rPr>
          <w:rFonts w:eastAsia="仿宋_GB2312" w:cs="Times New Roman"/>
          <w:i/>
          <w:color w:val="auto"/>
        </w:rPr>
        <w:t>Picea asperata Mast</w:t>
      </w:r>
      <w:r>
        <w:rPr>
          <w:rFonts w:eastAsia="仿宋_GB2312" w:cs="Times New Roman"/>
          <w:color w:val="auto"/>
        </w:rPr>
        <w:t>)为主的针阔叶混交林。由于进几十年的开采，已经失去原有的风光，原来的森林参天，已遭到破坏。现除保护区北部大青观尚保留少量的红松、云杉、水曲柳(</w:t>
      </w:r>
      <w:r>
        <w:rPr>
          <w:rFonts w:eastAsia="仿宋_GB2312" w:cs="Times New Roman"/>
          <w:i/>
          <w:color w:val="auto"/>
        </w:rPr>
        <w:t>Fraxinus mandshurica</w:t>
      </w:r>
      <w:r>
        <w:rPr>
          <w:rFonts w:eastAsia="仿宋_GB2312" w:cs="Times New Roman"/>
          <w:color w:val="auto"/>
        </w:rPr>
        <w:t>)等珍贵树种外，大部分已演替为天然次生林。经对双岔河湿地自然保护区实地调查和分析，共有野生高等植物804种，隶属于149科，属（附录1）。包括苔藓植物49科147种；蕨类植物12科，42种；裸子植物1科，5种；被子植物87科，610种。种子植物中有国家级重点保护植物4种，即红松、浮叶慈姑、水曲柳、黄檗</w:t>
      </w:r>
      <w:r>
        <w:rPr>
          <w:rFonts w:eastAsia="仿宋_GB2312" w:cs="Times New Roman"/>
          <w:bCs/>
          <w:color w:val="auto"/>
        </w:rPr>
        <w:t>（</w:t>
      </w:r>
      <w:r>
        <w:rPr>
          <w:rFonts w:eastAsia="仿宋_GB2312" w:cs="Times New Roman"/>
          <w:bCs/>
          <w:i/>
          <w:iCs/>
          <w:color w:val="auto"/>
        </w:rPr>
        <w:t>Phellodendron amurense</w:t>
      </w:r>
      <w:r>
        <w:rPr>
          <w:rFonts w:eastAsia="仿宋_GB2312" w:cs="Times New Roman"/>
          <w:bCs/>
          <w:color w:val="auto"/>
        </w:rPr>
        <w:t>）</w:t>
      </w:r>
      <w:r>
        <w:rPr>
          <w:rFonts w:eastAsia="仿宋_GB2312" w:cs="Times New Roman"/>
          <w:color w:val="auto"/>
        </w:rPr>
        <w:t>。</w:t>
      </w:r>
    </w:p>
    <w:p>
      <w:pPr>
        <w:ind w:firstLine="560"/>
        <w:rPr>
          <w:rFonts w:hint="eastAsia" w:eastAsia="仿宋_GB2312" w:cs="Times New Roman"/>
          <w:color w:val="auto"/>
          <w:lang w:eastAsia="zh-CN"/>
        </w:rPr>
      </w:pPr>
      <w:r>
        <w:rPr>
          <w:rFonts w:eastAsia="仿宋_GB2312" w:cs="Times New Roman"/>
          <w:color w:val="auto"/>
        </w:rPr>
        <w:t>黑龙江双岔河湿地自然保护区动物区属古北界东北亚界东北区长白山亚区，代表动物鸟类有鸳鸯（</w:t>
      </w:r>
      <w:r>
        <w:rPr>
          <w:rFonts w:eastAsia="仿宋_GB2312" w:cs="Times New Roman"/>
          <w:bCs/>
          <w:i/>
          <w:iCs/>
          <w:color w:val="auto"/>
        </w:rPr>
        <w:t>Aix galericulata</w:t>
      </w:r>
      <w:r>
        <w:rPr>
          <w:rFonts w:eastAsia="仿宋_GB2312" w:cs="Times New Roman"/>
          <w:color w:val="auto"/>
        </w:rPr>
        <w:t>）、灰鹤（</w:t>
      </w:r>
      <w:r>
        <w:rPr>
          <w:rFonts w:eastAsia="仿宋_GB2312" w:cs="Times New Roman"/>
          <w:i/>
          <w:color w:val="auto"/>
        </w:rPr>
        <w:t>Grus vipio</w:t>
      </w:r>
      <w:r>
        <w:rPr>
          <w:rFonts w:eastAsia="仿宋_GB2312" w:cs="Times New Roman"/>
          <w:color w:val="auto"/>
        </w:rPr>
        <w:t>）、花尾榛鸡（</w:t>
      </w:r>
      <w:r>
        <w:rPr>
          <w:rFonts w:eastAsia="仿宋_GB2312" w:cs="Times New Roman"/>
          <w:i/>
          <w:iCs/>
          <w:color w:val="auto"/>
        </w:rPr>
        <w:t>Bonasa bonasia</w:t>
      </w:r>
      <w:r>
        <w:rPr>
          <w:rFonts w:eastAsia="仿宋_GB2312" w:cs="Times New Roman"/>
          <w:color w:val="auto"/>
        </w:rPr>
        <w:t>）等</w:t>
      </w:r>
      <w:r>
        <w:rPr>
          <w:rFonts w:hint="eastAsia" w:eastAsia="仿宋_GB2312" w:cs="Times New Roman"/>
          <w:color w:val="auto"/>
          <w:lang w:eastAsia="zh-CN"/>
        </w:rPr>
        <w:t>珍稀鸟类</w:t>
      </w:r>
      <w:r>
        <w:rPr>
          <w:rFonts w:eastAsia="仿宋_GB2312" w:cs="Times New Roman"/>
          <w:color w:val="auto"/>
        </w:rPr>
        <w:t>；兽类有黑熊（</w:t>
      </w:r>
      <w:r>
        <w:rPr>
          <w:rFonts w:eastAsia="仿宋_GB2312" w:cs="Times New Roman"/>
          <w:i/>
          <w:iCs/>
          <w:color w:val="auto"/>
        </w:rPr>
        <w:t>Ursus thibetanus</w:t>
      </w:r>
      <w:r>
        <w:rPr>
          <w:rFonts w:eastAsia="仿宋_GB2312" w:cs="Times New Roman"/>
          <w:color w:val="auto"/>
        </w:rPr>
        <w:t>）、棕熊(</w:t>
      </w:r>
      <w:r>
        <w:rPr>
          <w:rFonts w:eastAsia="仿宋_GB2312" w:cs="Times New Roman"/>
          <w:i/>
          <w:color w:val="auto"/>
        </w:rPr>
        <w:t>Ursus arctos</w:t>
      </w:r>
      <w:r>
        <w:rPr>
          <w:rFonts w:eastAsia="仿宋_GB2312" w:cs="Times New Roman"/>
          <w:color w:val="auto"/>
        </w:rPr>
        <w:t>)、马鹿（</w:t>
      </w:r>
      <w:r>
        <w:rPr>
          <w:rFonts w:eastAsia="仿宋_GB2312" w:cs="Times New Roman"/>
          <w:i/>
          <w:iCs/>
          <w:color w:val="auto"/>
        </w:rPr>
        <w:t>Cerus elaphus</w:t>
      </w:r>
      <w:r>
        <w:rPr>
          <w:rFonts w:eastAsia="仿宋_GB2312" w:cs="Times New Roman"/>
          <w:color w:val="auto"/>
        </w:rPr>
        <w:t>）、野猪(</w:t>
      </w:r>
      <w:r>
        <w:rPr>
          <w:rFonts w:eastAsia="仿宋_GB2312" w:cs="Times New Roman"/>
          <w:i/>
          <w:color w:val="auto"/>
        </w:rPr>
        <w:t>Sus scrofa</w:t>
      </w:r>
      <w:r>
        <w:rPr>
          <w:rFonts w:eastAsia="仿宋_GB2312" w:cs="Times New Roman"/>
          <w:color w:val="auto"/>
        </w:rPr>
        <w:t>)等重点保护兽类；鱼类有草鱼（</w:t>
      </w:r>
      <w:r>
        <w:rPr>
          <w:rFonts w:eastAsia="仿宋_GB2312" w:cs="Times New Roman"/>
          <w:i/>
          <w:iCs/>
          <w:color w:val="auto"/>
        </w:rPr>
        <w:t>Ctenopharyngodon idellus</w:t>
      </w:r>
      <w:r>
        <w:rPr>
          <w:rFonts w:eastAsia="仿宋_GB2312" w:cs="Times New Roman"/>
          <w:color w:val="auto"/>
        </w:rPr>
        <w:t>）、鲤鱼（</w:t>
      </w:r>
      <w:r>
        <w:rPr>
          <w:rFonts w:eastAsia="仿宋_GB2312" w:cs="Times New Roman"/>
          <w:i/>
          <w:iCs/>
          <w:color w:val="auto"/>
        </w:rPr>
        <w:t>Cyprinus carpis</w:t>
      </w:r>
      <w:r>
        <w:rPr>
          <w:rFonts w:eastAsia="仿宋_GB2312" w:cs="Times New Roman"/>
          <w:color w:val="auto"/>
        </w:rPr>
        <w:t>）等经济鱼类；两栖类有东北小鲵（</w:t>
      </w:r>
      <w:r>
        <w:rPr>
          <w:rFonts w:eastAsia="仿宋_GB2312" w:cs="Times New Roman"/>
          <w:i/>
          <w:iCs/>
          <w:color w:val="auto"/>
        </w:rPr>
        <w:t>Hynobius leechii</w:t>
      </w:r>
      <w:r>
        <w:rPr>
          <w:rFonts w:eastAsia="仿宋_GB2312" w:cs="Times New Roman"/>
          <w:color w:val="auto"/>
        </w:rPr>
        <w:t>）、黑龙江林蛙(</w:t>
      </w:r>
      <w:r>
        <w:rPr>
          <w:rFonts w:eastAsia="仿宋_GB2312" w:cs="Times New Roman"/>
          <w:i/>
          <w:color w:val="auto"/>
        </w:rPr>
        <w:t>Rana amurensis</w:t>
      </w:r>
      <w:r>
        <w:rPr>
          <w:rFonts w:eastAsia="仿宋_GB2312" w:cs="Times New Roman"/>
          <w:color w:val="auto"/>
        </w:rPr>
        <w:t>)、花背蟾蜍（</w:t>
      </w:r>
      <w:r>
        <w:rPr>
          <w:rFonts w:eastAsia="仿宋_GB2312" w:cs="Times New Roman"/>
          <w:i/>
          <w:color w:val="auto"/>
        </w:rPr>
        <w:t>Bufo raddei</w:t>
      </w:r>
      <w:r>
        <w:rPr>
          <w:rFonts w:eastAsia="仿宋_GB2312" w:cs="Times New Roman"/>
          <w:color w:val="auto"/>
        </w:rPr>
        <w:t>）等；爬行类物有黑龙江草蜥（</w:t>
      </w:r>
      <w:r>
        <w:rPr>
          <w:rFonts w:eastAsia="仿宋_GB2312" w:cs="Times New Roman"/>
          <w:i/>
          <w:color w:val="auto"/>
        </w:rPr>
        <w:t>Takydromus amurensis</w:t>
      </w:r>
      <w:r>
        <w:rPr>
          <w:rFonts w:eastAsia="仿宋_GB2312" w:cs="Times New Roman"/>
          <w:color w:val="auto"/>
        </w:rPr>
        <w:t>）、棕黑锦蛇（</w:t>
      </w:r>
      <w:r>
        <w:rPr>
          <w:rFonts w:eastAsia="仿宋_GB2312" w:cs="Times New Roman"/>
          <w:i/>
          <w:color w:val="auto"/>
        </w:rPr>
        <w:t>Elaphe</w:t>
      </w:r>
      <w:r>
        <w:rPr>
          <w:rFonts w:eastAsia="仿宋_GB2312" w:cs="Times New Roman"/>
          <w:i/>
          <w:iCs/>
          <w:color w:val="auto"/>
        </w:rPr>
        <w:t xml:space="preserve"> schrenckii</w:t>
      </w:r>
      <w:r>
        <w:rPr>
          <w:rFonts w:eastAsia="仿宋_GB2312" w:cs="Times New Roman"/>
          <w:i/>
          <w:color w:val="auto"/>
        </w:rPr>
        <w:t xml:space="preserve"> </w:t>
      </w:r>
      <w:r>
        <w:rPr>
          <w:rFonts w:eastAsia="仿宋_GB2312" w:cs="Times New Roman"/>
          <w:color w:val="auto"/>
        </w:rPr>
        <w:t>）等，野生动物资源极为丰富。根据本次科学考察和查阅有关资料记载，保护区内生存的脊椎动物有247种，其中鱼类共有5目10科29种；两栖类共有2目5科9种；爬行类共有3目4科11种；鸟类16目41科165种，其中国家Ⅰ级保护鸟类1种，国家Ⅱ级保护鸟类26种；兽类6目l4科33种，其中国家Ⅱ级保护兽类有6种</w:t>
      </w:r>
      <w:r>
        <w:rPr>
          <w:rFonts w:hint="eastAsia" w:eastAsia="仿宋_GB2312" w:cs="Times New Roman"/>
          <w:color w:val="auto"/>
          <w:lang w:eastAsia="zh-CN"/>
        </w:rPr>
        <w:t>。</w:t>
      </w:r>
    </w:p>
    <w:p>
      <w:pPr>
        <w:ind w:firstLine="560"/>
        <w:rPr>
          <w:rFonts w:hint="eastAsia" w:cs="Times New Roman"/>
          <w:color w:val="auto"/>
          <w:lang w:val="en-US" w:eastAsia="zh-CN"/>
        </w:rPr>
      </w:pPr>
      <w:r>
        <w:rPr>
          <w:rFonts w:hint="eastAsia" w:cs="Times New Roman"/>
          <w:color w:val="auto"/>
          <w:lang w:val="en-US" w:eastAsia="zh-CN"/>
        </w:rPr>
        <w:t>总体目标：实现对森林生态系统及其珍稀动植物资源的有效保护，建立科研监测体系，全面提升保护区建设质量和管护水平，保持生态系统和自然景观的完整性，维护生物多样性的基本稳定；协调保护与发展的关系，充分发挥保护区的多功能效益；逐步将黑龙江绥棱县四海店林木自然保护区建设成为基础设施完备、管理高效、科研监测手段先进、功能齐全、社区经济协调发展的综合性保护区。</w:t>
      </w:r>
    </w:p>
    <w:p>
      <w:pPr>
        <w:ind w:firstLine="0" w:firstLineChars="0"/>
        <w:jc w:val="center"/>
        <w:rPr>
          <w:rFonts w:eastAsia="黑体" w:cs="Times New Roman"/>
          <w:color w:val="auto"/>
        </w:rPr>
      </w:pPr>
      <w:r>
        <w:rPr>
          <w:rFonts w:eastAsia="黑体" w:cs="Times New Roman"/>
          <w:color w:val="auto"/>
        </w:rPr>
        <w:t>表</w:t>
      </w:r>
      <w:r>
        <w:rPr>
          <w:rFonts w:hint="eastAsia" w:eastAsia="黑体" w:cs="Times New Roman"/>
          <w:color w:val="auto"/>
        </w:rPr>
        <w:t>2-2</w:t>
      </w:r>
      <w:r>
        <w:rPr>
          <w:rFonts w:eastAsia="黑体" w:cs="Times New Roman"/>
          <w:color w:val="auto"/>
        </w:rPr>
        <w:t xml:space="preserve">  绥棱县自然保护地基本情况</w:t>
      </w:r>
    </w:p>
    <w:tbl>
      <w:tblPr>
        <w:tblStyle w:val="16"/>
        <w:tblW w:w="830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7"/>
        <w:gridCol w:w="1453"/>
        <w:gridCol w:w="1265"/>
        <w:gridCol w:w="3040"/>
        <w:gridCol w:w="182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4" w:hRule="atLeast"/>
        </w:trPr>
        <w:tc>
          <w:tcPr>
            <w:tcW w:w="727" w:type="dxa"/>
            <w:vAlign w:val="center"/>
          </w:tcPr>
          <w:p>
            <w:pPr>
              <w:widowControl/>
              <w:spacing w:line="240" w:lineRule="auto"/>
              <w:ind w:firstLine="0" w:firstLineChars="0"/>
              <w:jc w:val="center"/>
              <w:rPr>
                <w:rFonts w:cs="Times New Roman"/>
                <w:color w:val="auto"/>
                <w:sz w:val="24"/>
              </w:rPr>
            </w:pPr>
            <w:r>
              <w:rPr>
                <w:rFonts w:cs="Times New Roman"/>
                <w:color w:val="auto"/>
                <w:sz w:val="24"/>
              </w:rPr>
              <w:t>序号</w:t>
            </w:r>
          </w:p>
        </w:tc>
        <w:tc>
          <w:tcPr>
            <w:tcW w:w="1453" w:type="dxa"/>
            <w:vAlign w:val="center"/>
          </w:tcPr>
          <w:p>
            <w:pPr>
              <w:widowControl/>
              <w:spacing w:line="240" w:lineRule="auto"/>
              <w:ind w:firstLine="0" w:firstLineChars="0"/>
              <w:jc w:val="center"/>
              <w:rPr>
                <w:rFonts w:cs="Times New Roman"/>
                <w:color w:val="auto"/>
                <w:sz w:val="24"/>
              </w:rPr>
            </w:pPr>
            <w:r>
              <w:rPr>
                <w:rFonts w:cs="Times New Roman"/>
                <w:color w:val="auto"/>
                <w:sz w:val="24"/>
              </w:rPr>
              <w:t>类型</w:t>
            </w:r>
          </w:p>
        </w:tc>
        <w:tc>
          <w:tcPr>
            <w:tcW w:w="1265" w:type="dxa"/>
            <w:vAlign w:val="center"/>
          </w:tcPr>
          <w:p>
            <w:pPr>
              <w:widowControl/>
              <w:spacing w:line="240" w:lineRule="auto"/>
              <w:ind w:firstLine="0" w:firstLineChars="0"/>
              <w:jc w:val="center"/>
              <w:rPr>
                <w:rFonts w:cs="Times New Roman"/>
                <w:color w:val="auto"/>
                <w:sz w:val="24"/>
              </w:rPr>
            </w:pPr>
            <w:r>
              <w:rPr>
                <w:rFonts w:cs="Times New Roman"/>
                <w:color w:val="auto"/>
                <w:sz w:val="24"/>
              </w:rPr>
              <w:t>级别</w:t>
            </w:r>
          </w:p>
        </w:tc>
        <w:tc>
          <w:tcPr>
            <w:tcW w:w="3040" w:type="dxa"/>
            <w:vAlign w:val="center"/>
          </w:tcPr>
          <w:p>
            <w:pPr>
              <w:widowControl/>
              <w:spacing w:line="240" w:lineRule="auto"/>
              <w:ind w:firstLine="0" w:firstLineChars="0"/>
              <w:jc w:val="center"/>
              <w:rPr>
                <w:rFonts w:cs="Times New Roman"/>
                <w:color w:val="auto"/>
                <w:sz w:val="24"/>
              </w:rPr>
            </w:pPr>
            <w:r>
              <w:rPr>
                <w:rFonts w:cs="Times New Roman"/>
                <w:color w:val="auto"/>
                <w:sz w:val="24"/>
              </w:rPr>
              <w:t>名称</w:t>
            </w:r>
          </w:p>
        </w:tc>
        <w:tc>
          <w:tcPr>
            <w:tcW w:w="1823" w:type="dxa"/>
            <w:vAlign w:val="center"/>
          </w:tcPr>
          <w:p>
            <w:pPr>
              <w:widowControl/>
              <w:spacing w:line="240" w:lineRule="auto"/>
              <w:ind w:firstLine="0" w:firstLineChars="0"/>
              <w:jc w:val="center"/>
              <w:rPr>
                <w:rFonts w:cs="Times New Roman"/>
                <w:color w:val="auto"/>
                <w:sz w:val="24"/>
              </w:rPr>
            </w:pPr>
            <w:r>
              <w:rPr>
                <w:rFonts w:cs="Times New Roman"/>
                <w:color w:val="auto"/>
                <w:sz w:val="24"/>
              </w:rPr>
              <w:t>面积（公顷）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727" w:type="dxa"/>
            <w:vAlign w:val="center"/>
          </w:tcPr>
          <w:p>
            <w:pPr>
              <w:widowControl/>
              <w:spacing w:line="240" w:lineRule="auto"/>
              <w:ind w:firstLine="0" w:firstLineChars="0"/>
              <w:jc w:val="center"/>
              <w:rPr>
                <w:rFonts w:cs="Times New Roman"/>
                <w:color w:val="auto"/>
                <w:sz w:val="24"/>
              </w:rPr>
            </w:pPr>
            <w:r>
              <w:rPr>
                <w:rFonts w:cs="Times New Roman"/>
                <w:color w:val="auto"/>
                <w:sz w:val="24"/>
              </w:rPr>
              <w:t>1</w:t>
            </w:r>
          </w:p>
        </w:tc>
        <w:tc>
          <w:tcPr>
            <w:tcW w:w="1453" w:type="dxa"/>
            <w:vAlign w:val="center"/>
          </w:tcPr>
          <w:p>
            <w:pPr>
              <w:widowControl/>
              <w:spacing w:line="240" w:lineRule="auto"/>
              <w:ind w:firstLine="0" w:firstLineChars="0"/>
              <w:jc w:val="center"/>
              <w:rPr>
                <w:rFonts w:cs="Times New Roman"/>
                <w:color w:val="auto"/>
                <w:sz w:val="24"/>
              </w:rPr>
            </w:pPr>
            <w:r>
              <w:rPr>
                <w:rFonts w:cs="Times New Roman"/>
                <w:color w:val="auto"/>
                <w:sz w:val="24"/>
              </w:rPr>
              <w:t>森林公园</w:t>
            </w:r>
          </w:p>
        </w:tc>
        <w:tc>
          <w:tcPr>
            <w:tcW w:w="1265" w:type="dxa"/>
            <w:vAlign w:val="center"/>
          </w:tcPr>
          <w:p>
            <w:pPr>
              <w:widowControl/>
              <w:spacing w:line="240" w:lineRule="auto"/>
              <w:ind w:firstLine="0" w:firstLineChars="0"/>
              <w:jc w:val="center"/>
              <w:rPr>
                <w:rFonts w:cs="Times New Roman"/>
                <w:color w:val="auto"/>
                <w:sz w:val="24"/>
              </w:rPr>
            </w:pPr>
            <w:r>
              <w:rPr>
                <w:rFonts w:cs="Times New Roman"/>
                <w:color w:val="auto"/>
                <w:sz w:val="24"/>
              </w:rPr>
              <w:t>国家级</w:t>
            </w:r>
          </w:p>
        </w:tc>
        <w:tc>
          <w:tcPr>
            <w:tcW w:w="3040" w:type="dxa"/>
            <w:vAlign w:val="center"/>
          </w:tcPr>
          <w:p>
            <w:pPr>
              <w:widowControl/>
              <w:spacing w:line="240" w:lineRule="auto"/>
              <w:ind w:firstLine="0" w:firstLineChars="0"/>
              <w:jc w:val="center"/>
              <w:rPr>
                <w:rFonts w:cs="Times New Roman"/>
                <w:color w:val="auto"/>
                <w:sz w:val="24"/>
              </w:rPr>
            </w:pPr>
            <w:r>
              <w:rPr>
                <w:rFonts w:cs="Times New Roman"/>
                <w:color w:val="auto"/>
                <w:sz w:val="24"/>
              </w:rPr>
              <w:t>黑龙江大青观国家森林公园</w:t>
            </w:r>
          </w:p>
        </w:tc>
        <w:tc>
          <w:tcPr>
            <w:tcW w:w="1823" w:type="dxa"/>
            <w:vAlign w:val="center"/>
          </w:tcPr>
          <w:p>
            <w:pPr>
              <w:widowControl/>
              <w:spacing w:line="240" w:lineRule="auto"/>
              <w:ind w:firstLine="0" w:firstLineChars="0"/>
              <w:jc w:val="center"/>
              <w:rPr>
                <w:rFonts w:cs="Times New Roman"/>
                <w:color w:val="auto"/>
                <w:sz w:val="24"/>
              </w:rPr>
            </w:pPr>
            <w:r>
              <w:rPr>
                <w:rFonts w:cs="Times New Roman"/>
                <w:color w:val="auto"/>
                <w:sz w:val="24"/>
              </w:rPr>
              <w:t>5591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727" w:type="dxa"/>
            <w:vAlign w:val="center"/>
          </w:tcPr>
          <w:p>
            <w:pPr>
              <w:widowControl/>
              <w:spacing w:line="240" w:lineRule="auto"/>
              <w:ind w:firstLine="0" w:firstLineChars="0"/>
              <w:jc w:val="center"/>
              <w:rPr>
                <w:rFonts w:cs="Times New Roman"/>
                <w:color w:val="auto"/>
                <w:sz w:val="24"/>
              </w:rPr>
            </w:pPr>
            <w:r>
              <w:rPr>
                <w:rFonts w:cs="Times New Roman"/>
                <w:color w:val="auto"/>
                <w:sz w:val="24"/>
              </w:rPr>
              <w:t>2</w:t>
            </w:r>
          </w:p>
        </w:tc>
        <w:tc>
          <w:tcPr>
            <w:tcW w:w="1453" w:type="dxa"/>
            <w:vAlign w:val="center"/>
          </w:tcPr>
          <w:p>
            <w:pPr>
              <w:widowControl/>
              <w:spacing w:line="240" w:lineRule="auto"/>
              <w:ind w:firstLine="0" w:firstLineChars="0"/>
              <w:jc w:val="center"/>
              <w:rPr>
                <w:rFonts w:cs="Times New Roman"/>
                <w:color w:val="auto"/>
                <w:sz w:val="24"/>
              </w:rPr>
            </w:pPr>
            <w:r>
              <w:rPr>
                <w:rFonts w:cs="Times New Roman"/>
                <w:color w:val="auto"/>
                <w:sz w:val="24"/>
              </w:rPr>
              <w:t>森林公园</w:t>
            </w:r>
          </w:p>
        </w:tc>
        <w:tc>
          <w:tcPr>
            <w:tcW w:w="1265" w:type="dxa"/>
            <w:vAlign w:val="center"/>
          </w:tcPr>
          <w:p>
            <w:pPr>
              <w:widowControl/>
              <w:spacing w:line="240" w:lineRule="auto"/>
              <w:ind w:firstLine="0" w:firstLineChars="0"/>
              <w:jc w:val="center"/>
              <w:rPr>
                <w:rFonts w:cs="Times New Roman"/>
                <w:color w:val="auto"/>
                <w:sz w:val="24"/>
              </w:rPr>
            </w:pPr>
            <w:r>
              <w:rPr>
                <w:rFonts w:cs="Times New Roman"/>
                <w:color w:val="auto"/>
                <w:sz w:val="24"/>
              </w:rPr>
              <w:t>省级</w:t>
            </w:r>
          </w:p>
        </w:tc>
        <w:tc>
          <w:tcPr>
            <w:tcW w:w="3040" w:type="dxa"/>
            <w:vAlign w:val="center"/>
          </w:tcPr>
          <w:p>
            <w:pPr>
              <w:widowControl/>
              <w:spacing w:line="240" w:lineRule="auto"/>
              <w:ind w:firstLine="0" w:firstLineChars="0"/>
              <w:jc w:val="center"/>
              <w:rPr>
                <w:rFonts w:cs="Times New Roman"/>
                <w:color w:val="auto"/>
                <w:sz w:val="24"/>
              </w:rPr>
            </w:pPr>
            <w:r>
              <w:rPr>
                <w:rFonts w:cs="Times New Roman"/>
                <w:color w:val="auto"/>
                <w:sz w:val="24"/>
              </w:rPr>
              <w:t>黑龙江绥化绥棱七一省级森林公园</w:t>
            </w:r>
          </w:p>
        </w:tc>
        <w:tc>
          <w:tcPr>
            <w:tcW w:w="1823" w:type="dxa"/>
            <w:vAlign w:val="center"/>
          </w:tcPr>
          <w:p>
            <w:pPr>
              <w:widowControl/>
              <w:spacing w:line="240" w:lineRule="auto"/>
              <w:ind w:firstLine="0" w:firstLineChars="0"/>
              <w:jc w:val="center"/>
              <w:rPr>
                <w:rFonts w:cs="Times New Roman"/>
                <w:color w:val="auto"/>
                <w:sz w:val="24"/>
              </w:rPr>
            </w:pPr>
            <w:r>
              <w:rPr>
                <w:rFonts w:cs="Times New Roman"/>
                <w:color w:val="auto"/>
                <w:sz w:val="24"/>
              </w:rPr>
              <w:t>1700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727" w:type="dxa"/>
            <w:vAlign w:val="center"/>
          </w:tcPr>
          <w:p>
            <w:pPr>
              <w:widowControl/>
              <w:spacing w:line="240" w:lineRule="auto"/>
              <w:ind w:firstLine="0" w:firstLineChars="0"/>
              <w:jc w:val="center"/>
              <w:rPr>
                <w:rFonts w:cs="Times New Roman"/>
                <w:color w:val="auto"/>
                <w:sz w:val="24"/>
              </w:rPr>
            </w:pPr>
            <w:r>
              <w:rPr>
                <w:rFonts w:cs="Times New Roman"/>
                <w:color w:val="auto"/>
                <w:sz w:val="24"/>
              </w:rPr>
              <w:t>3</w:t>
            </w:r>
          </w:p>
        </w:tc>
        <w:tc>
          <w:tcPr>
            <w:tcW w:w="1453" w:type="dxa"/>
            <w:vAlign w:val="center"/>
          </w:tcPr>
          <w:p>
            <w:pPr>
              <w:widowControl/>
              <w:spacing w:line="240" w:lineRule="auto"/>
              <w:ind w:firstLine="0" w:firstLineChars="0"/>
              <w:jc w:val="center"/>
              <w:rPr>
                <w:rFonts w:cs="Times New Roman"/>
                <w:color w:val="auto"/>
                <w:sz w:val="24"/>
              </w:rPr>
            </w:pPr>
            <w:r>
              <w:rPr>
                <w:rFonts w:cs="Times New Roman"/>
                <w:color w:val="auto"/>
                <w:sz w:val="24"/>
              </w:rPr>
              <w:t>森林公园</w:t>
            </w:r>
          </w:p>
        </w:tc>
        <w:tc>
          <w:tcPr>
            <w:tcW w:w="1265" w:type="dxa"/>
            <w:vAlign w:val="center"/>
          </w:tcPr>
          <w:p>
            <w:pPr>
              <w:widowControl/>
              <w:spacing w:line="240" w:lineRule="auto"/>
              <w:ind w:firstLine="0" w:firstLineChars="0"/>
              <w:jc w:val="center"/>
              <w:rPr>
                <w:rFonts w:cs="Times New Roman"/>
                <w:color w:val="auto"/>
                <w:sz w:val="24"/>
              </w:rPr>
            </w:pPr>
            <w:r>
              <w:rPr>
                <w:rFonts w:cs="Times New Roman"/>
                <w:color w:val="auto"/>
                <w:sz w:val="24"/>
              </w:rPr>
              <w:t>省级</w:t>
            </w:r>
          </w:p>
        </w:tc>
        <w:tc>
          <w:tcPr>
            <w:tcW w:w="3040" w:type="dxa"/>
            <w:vAlign w:val="center"/>
          </w:tcPr>
          <w:p>
            <w:pPr>
              <w:widowControl/>
              <w:spacing w:line="240" w:lineRule="auto"/>
              <w:ind w:firstLine="0" w:firstLineChars="0"/>
              <w:jc w:val="center"/>
              <w:rPr>
                <w:rFonts w:cs="Times New Roman"/>
                <w:color w:val="auto"/>
                <w:sz w:val="24"/>
              </w:rPr>
            </w:pPr>
            <w:r>
              <w:rPr>
                <w:rFonts w:cs="Times New Roman"/>
                <w:color w:val="auto"/>
                <w:sz w:val="24"/>
              </w:rPr>
              <w:t>黑龙江绥化绥棱白马石省级森林公园</w:t>
            </w:r>
          </w:p>
        </w:tc>
        <w:tc>
          <w:tcPr>
            <w:tcW w:w="1823" w:type="dxa"/>
            <w:vAlign w:val="center"/>
          </w:tcPr>
          <w:p>
            <w:pPr>
              <w:widowControl/>
              <w:spacing w:line="240" w:lineRule="auto"/>
              <w:ind w:firstLine="0" w:firstLineChars="0"/>
              <w:jc w:val="center"/>
              <w:rPr>
                <w:rFonts w:cs="Times New Roman"/>
                <w:color w:val="auto"/>
                <w:sz w:val="24"/>
              </w:rPr>
            </w:pPr>
            <w:r>
              <w:rPr>
                <w:rFonts w:cs="Times New Roman"/>
                <w:color w:val="auto"/>
                <w:sz w:val="24"/>
              </w:rPr>
              <w:t>6800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727" w:type="dxa"/>
            <w:vAlign w:val="center"/>
          </w:tcPr>
          <w:p>
            <w:pPr>
              <w:widowControl/>
              <w:spacing w:line="240" w:lineRule="auto"/>
              <w:ind w:firstLine="0" w:firstLineChars="0"/>
              <w:jc w:val="center"/>
              <w:rPr>
                <w:rFonts w:cs="Times New Roman"/>
                <w:color w:val="auto"/>
                <w:sz w:val="24"/>
              </w:rPr>
            </w:pPr>
            <w:r>
              <w:rPr>
                <w:rFonts w:cs="Times New Roman"/>
                <w:color w:val="auto"/>
                <w:sz w:val="24"/>
              </w:rPr>
              <w:t>4</w:t>
            </w:r>
          </w:p>
        </w:tc>
        <w:tc>
          <w:tcPr>
            <w:tcW w:w="1453" w:type="dxa"/>
            <w:vAlign w:val="center"/>
          </w:tcPr>
          <w:p>
            <w:pPr>
              <w:widowControl/>
              <w:spacing w:line="240" w:lineRule="auto"/>
              <w:ind w:firstLine="0" w:firstLineChars="0"/>
              <w:jc w:val="center"/>
              <w:rPr>
                <w:rFonts w:cs="Times New Roman"/>
                <w:color w:val="auto"/>
                <w:sz w:val="24"/>
              </w:rPr>
            </w:pPr>
            <w:r>
              <w:rPr>
                <w:rFonts w:cs="Times New Roman"/>
                <w:color w:val="auto"/>
                <w:sz w:val="24"/>
              </w:rPr>
              <w:t>自然保护区</w:t>
            </w:r>
          </w:p>
        </w:tc>
        <w:tc>
          <w:tcPr>
            <w:tcW w:w="1265" w:type="dxa"/>
            <w:vAlign w:val="center"/>
          </w:tcPr>
          <w:p>
            <w:pPr>
              <w:widowControl/>
              <w:spacing w:line="240" w:lineRule="auto"/>
              <w:ind w:firstLine="0" w:firstLineChars="0"/>
              <w:jc w:val="center"/>
              <w:rPr>
                <w:rFonts w:cs="Times New Roman"/>
                <w:color w:val="auto"/>
                <w:sz w:val="24"/>
              </w:rPr>
            </w:pPr>
            <w:r>
              <w:rPr>
                <w:rFonts w:cs="Times New Roman"/>
                <w:color w:val="auto"/>
                <w:sz w:val="24"/>
              </w:rPr>
              <w:t>省级</w:t>
            </w:r>
          </w:p>
        </w:tc>
        <w:tc>
          <w:tcPr>
            <w:tcW w:w="3040" w:type="dxa"/>
            <w:vAlign w:val="center"/>
          </w:tcPr>
          <w:p>
            <w:pPr>
              <w:widowControl/>
              <w:spacing w:line="240" w:lineRule="auto"/>
              <w:ind w:firstLine="0" w:firstLineChars="0"/>
              <w:jc w:val="center"/>
              <w:rPr>
                <w:rFonts w:cs="Times New Roman"/>
                <w:color w:val="auto"/>
                <w:sz w:val="24"/>
              </w:rPr>
            </w:pPr>
            <w:r>
              <w:rPr>
                <w:rFonts w:cs="Times New Roman"/>
                <w:color w:val="auto"/>
                <w:sz w:val="24"/>
              </w:rPr>
              <w:t>绥棱努敏河省级自然保护区</w:t>
            </w:r>
          </w:p>
        </w:tc>
        <w:tc>
          <w:tcPr>
            <w:tcW w:w="1823" w:type="dxa"/>
            <w:vAlign w:val="center"/>
          </w:tcPr>
          <w:p>
            <w:pPr>
              <w:widowControl/>
              <w:spacing w:line="240" w:lineRule="auto"/>
              <w:ind w:firstLine="0" w:firstLineChars="0"/>
              <w:jc w:val="center"/>
              <w:rPr>
                <w:rFonts w:cs="Times New Roman"/>
                <w:color w:val="auto"/>
                <w:sz w:val="24"/>
              </w:rPr>
            </w:pPr>
            <w:r>
              <w:rPr>
                <w:rFonts w:cs="Times New Roman"/>
                <w:color w:val="auto"/>
                <w:sz w:val="24"/>
              </w:rPr>
              <w:t>50025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727" w:type="dxa"/>
            <w:vAlign w:val="center"/>
          </w:tcPr>
          <w:p>
            <w:pPr>
              <w:widowControl/>
              <w:spacing w:line="240" w:lineRule="auto"/>
              <w:ind w:firstLine="0" w:firstLineChars="0"/>
              <w:jc w:val="center"/>
              <w:rPr>
                <w:rFonts w:cs="Times New Roman"/>
                <w:color w:val="auto"/>
                <w:sz w:val="24"/>
              </w:rPr>
            </w:pPr>
            <w:r>
              <w:rPr>
                <w:rFonts w:cs="Times New Roman"/>
                <w:color w:val="auto"/>
                <w:sz w:val="24"/>
              </w:rPr>
              <w:t>5</w:t>
            </w:r>
          </w:p>
        </w:tc>
        <w:tc>
          <w:tcPr>
            <w:tcW w:w="1453" w:type="dxa"/>
            <w:vAlign w:val="center"/>
          </w:tcPr>
          <w:p>
            <w:pPr>
              <w:widowControl/>
              <w:spacing w:line="240" w:lineRule="auto"/>
              <w:ind w:firstLine="0" w:firstLineChars="0"/>
              <w:jc w:val="center"/>
              <w:rPr>
                <w:rFonts w:cs="Times New Roman"/>
                <w:color w:val="auto"/>
                <w:sz w:val="24"/>
              </w:rPr>
            </w:pPr>
            <w:r>
              <w:rPr>
                <w:rFonts w:cs="Times New Roman"/>
                <w:color w:val="auto"/>
                <w:sz w:val="24"/>
              </w:rPr>
              <w:t>自然保护区</w:t>
            </w:r>
          </w:p>
        </w:tc>
        <w:tc>
          <w:tcPr>
            <w:tcW w:w="1265" w:type="dxa"/>
            <w:vAlign w:val="center"/>
          </w:tcPr>
          <w:p>
            <w:pPr>
              <w:widowControl/>
              <w:spacing w:line="240" w:lineRule="auto"/>
              <w:ind w:firstLine="0" w:firstLineChars="0"/>
              <w:jc w:val="center"/>
              <w:rPr>
                <w:rFonts w:cs="Times New Roman"/>
                <w:color w:val="auto"/>
                <w:sz w:val="24"/>
              </w:rPr>
            </w:pPr>
            <w:r>
              <w:rPr>
                <w:rFonts w:cs="Times New Roman"/>
                <w:color w:val="auto"/>
                <w:sz w:val="24"/>
              </w:rPr>
              <w:t>县级</w:t>
            </w:r>
          </w:p>
        </w:tc>
        <w:tc>
          <w:tcPr>
            <w:tcW w:w="3040" w:type="dxa"/>
            <w:vAlign w:val="center"/>
          </w:tcPr>
          <w:p>
            <w:pPr>
              <w:widowControl/>
              <w:spacing w:line="240" w:lineRule="auto"/>
              <w:ind w:firstLine="0" w:firstLineChars="0"/>
              <w:jc w:val="center"/>
              <w:rPr>
                <w:rFonts w:cs="Times New Roman"/>
                <w:color w:val="auto"/>
                <w:sz w:val="24"/>
              </w:rPr>
            </w:pPr>
            <w:r>
              <w:rPr>
                <w:rFonts w:cs="Times New Roman"/>
                <w:color w:val="auto"/>
                <w:sz w:val="24"/>
              </w:rPr>
              <w:t>黑龙江绥棱县四海店林木自然保护区</w:t>
            </w:r>
          </w:p>
        </w:tc>
        <w:tc>
          <w:tcPr>
            <w:tcW w:w="1823" w:type="dxa"/>
            <w:vAlign w:val="center"/>
          </w:tcPr>
          <w:p>
            <w:pPr>
              <w:widowControl/>
              <w:spacing w:line="240" w:lineRule="auto"/>
              <w:ind w:firstLine="0" w:firstLineChars="0"/>
              <w:jc w:val="center"/>
              <w:rPr>
                <w:rFonts w:cs="Times New Roman"/>
                <w:color w:val="auto"/>
              </w:rPr>
            </w:pPr>
            <w:r>
              <w:rPr>
                <w:rFonts w:cs="Times New Roman"/>
                <w:color w:val="auto"/>
                <w:sz w:val="24"/>
              </w:rPr>
              <w:t>350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727" w:type="dxa"/>
            <w:vAlign w:val="center"/>
          </w:tcPr>
          <w:p>
            <w:pPr>
              <w:widowControl/>
              <w:spacing w:line="240" w:lineRule="auto"/>
              <w:ind w:firstLine="0" w:firstLineChars="0"/>
              <w:jc w:val="center"/>
              <w:rPr>
                <w:rFonts w:cs="Times New Roman"/>
                <w:color w:val="auto"/>
                <w:sz w:val="24"/>
              </w:rPr>
            </w:pPr>
            <w:r>
              <w:rPr>
                <w:rFonts w:cs="Times New Roman"/>
                <w:color w:val="auto"/>
                <w:sz w:val="24"/>
              </w:rPr>
              <w:t>6</w:t>
            </w:r>
          </w:p>
        </w:tc>
        <w:tc>
          <w:tcPr>
            <w:tcW w:w="1453" w:type="dxa"/>
            <w:vAlign w:val="center"/>
          </w:tcPr>
          <w:p>
            <w:pPr>
              <w:widowControl/>
              <w:spacing w:line="240" w:lineRule="auto"/>
              <w:ind w:firstLine="0" w:firstLineChars="0"/>
              <w:jc w:val="center"/>
              <w:rPr>
                <w:rFonts w:cs="Times New Roman"/>
                <w:color w:val="auto"/>
                <w:sz w:val="24"/>
              </w:rPr>
            </w:pPr>
            <w:r>
              <w:rPr>
                <w:rFonts w:cs="Times New Roman"/>
                <w:color w:val="auto"/>
                <w:sz w:val="24"/>
              </w:rPr>
              <w:t>自然保护区</w:t>
            </w:r>
          </w:p>
        </w:tc>
        <w:tc>
          <w:tcPr>
            <w:tcW w:w="1265" w:type="dxa"/>
            <w:vAlign w:val="center"/>
          </w:tcPr>
          <w:p>
            <w:pPr>
              <w:widowControl/>
              <w:spacing w:line="240" w:lineRule="auto"/>
              <w:ind w:firstLine="0" w:firstLineChars="0"/>
              <w:jc w:val="center"/>
              <w:rPr>
                <w:rFonts w:cs="Times New Roman"/>
                <w:color w:val="auto"/>
                <w:sz w:val="24"/>
              </w:rPr>
            </w:pPr>
            <w:r>
              <w:rPr>
                <w:rFonts w:cs="Times New Roman"/>
                <w:color w:val="auto"/>
                <w:sz w:val="24"/>
              </w:rPr>
              <w:t>省级</w:t>
            </w:r>
          </w:p>
        </w:tc>
        <w:tc>
          <w:tcPr>
            <w:tcW w:w="3040" w:type="dxa"/>
            <w:vAlign w:val="center"/>
          </w:tcPr>
          <w:p>
            <w:pPr>
              <w:widowControl/>
              <w:spacing w:line="240" w:lineRule="auto"/>
              <w:ind w:firstLine="0" w:firstLineChars="0"/>
              <w:jc w:val="center"/>
              <w:rPr>
                <w:rFonts w:cs="Times New Roman"/>
                <w:color w:val="auto"/>
                <w:sz w:val="24"/>
              </w:rPr>
            </w:pPr>
            <w:r>
              <w:rPr>
                <w:rFonts w:cs="Times New Roman"/>
                <w:color w:val="auto"/>
                <w:sz w:val="24"/>
              </w:rPr>
              <w:t>黑龙江绥化双岔河省级自然保护区</w:t>
            </w:r>
          </w:p>
        </w:tc>
        <w:tc>
          <w:tcPr>
            <w:tcW w:w="1823" w:type="dxa"/>
            <w:vAlign w:val="center"/>
          </w:tcPr>
          <w:p>
            <w:pPr>
              <w:widowControl/>
              <w:spacing w:line="240" w:lineRule="auto"/>
              <w:ind w:firstLine="0" w:firstLineChars="0"/>
              <w:jc w:val="center"/>
              <w:rPr>
                <w:rFonts w:cs="Times New Roman"/>
                <w:color w:val="auto"/>
                <w:sz w:val="24"/>
              </w:rPr>
            </w:pPr>
            <w:r>
              <w:rPr>
                <w:rFonts w:cs="Times New Roman"/>
                <w:color w:val="auto"/>
                <w:sz w:val="24"/>
              </w:rPr>
              <w:t>10699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8" w:hRule="atLeast"/>
        </w:trPr>
        <w:tc>
          <w:tcPr>
            <w:tcW w:w="6485" w:type="dxa"/>
            <w:gridSpan w:val="4"/>
            <w:vAlign w:val="center"/>
          </w:tcPr>
          <w:p>
            <w:pPr>
              <w:widowControl/>
              <w:spacing w:line="240" w:lineRule="auto"/>
              <w:ind w:firstLine="0" w:firstLineChars="0"/>
              <w:jc w:val="center"/>
              <w:rPr>
                <w:rFonts w:cs="Times New Roman"/>
                <w:color w:val="auto"/>
                <w:sz w:val="24"/>
              </w:rPr>
            </w:pPr>
            <w:r>
              <w:rPr>
                <w:rFonts w:cs="Times New Roman"/>
                <w:color w:val="auto"/>
                <w:sz w:val="24"/>
              </w:rPr>
              <w:t>合计</w:t>
            </w:r>
          </w:p>
        </w:tc>
        <w:tc>
          <w:tcPr>
            <w:tcW w:w="1823" w:type="dxa"/>
            <w:vAlign w:val="center"/>
          </w:tcPr>
          <w:p>
            <w:pPr>
              <w:widowControl/>
              <w:spacing w:line="240" w:lineRule="auto"/>
              <w:ind w:firstLine="0" w:firstLineChars="0"/>
              <w:jc w:val="center"/>
              <w:rPr>
                <w:rFonts w:cs="Times New Roman"/>
                <w:color w:val="auto"/>
                <w:sz w:val="24"/>
              </w:rPr>
            </w:pPr>
            <w:r>
              <w:rPr>
                <w:rFonts w:hint="eastAsia" w:cs="Times New Roman"/>
                <w:color w:val="auto"/>
                <w:sz w:val="24"/>
              </w:rPr>
              <w:t>75165</w:t>
            </w:r>
          </w:p>
        </w:tc>
      </w:tr>
    </w:tbl>
    <w:p>
      <w:pPr>
        <w:ind w:firstLine="560"/>
        <w:rPr>
          <w:rFonts w:hint="eastAsia" w:cs="Times New Roman"/>
          <w:color w:val="auto"/>
          <w:lang w:val="en-US" w:eastAsia="zh-CN"/>
        </w:rPr>
      </w:pPr>
      <w:r>
        <w:rPr>
          <w:rFonts w:hint="eastAsia" w:cs="Times New Roman"/>
          <w:color w:val="auto"/>
          <w:lang w:val="en-US" w:eastAsia="zh-CN"/>
        </w:rPr>
        <w:t>《关于进一步加强生物多样性保护的意见》指出：“二、要持续优化生物多样性保护空间格局。落实就地保护体系，合理布局建设物种保护空间体系，重点加强珍稀濒危动植物、旗舰物种和指示物种保护管理，明确重点保护对象及其受威胁程度，对其栖息生境实施不同保护措施。持续推进各级各类自然保护地、城市绿地等保护空间标准化、规范化建设。推进重要生态系统保护和修复。加强重点生态功能区、重要自然生态系统、自然遗迹、自然景观及珍稀濒危物种种群、极小种群保护，提升生态系统的稳定性和复原力。......九、全面推动生物多样性保护公众参与。加强宣传教育。加强生物多样性保护相关法律法规、科学知识、典型案例、重大项目成果等宣传普及，推动新闻媒体和网络平台积极开展生物多样性保护公益宣传。完善社会参与机制。通过政府购买服务等形式激励企事业单位、社会组织开展生物多样性保护宣传教育、咨询服务和法律援助等活动。完善违法活动举报机制，畅通举报渠道，鼓励公民和社会组织积极举报滥捕滥伐、非法交易、污染环境等导致生物多样性受损的违法行为，支持新闻媒体开展舆论监督。”</w:t>
      </w:r>
    </w:p>
    <w:p>
      <w:pPr>
        <w:ind w:firstLine="560"/>
        <w:rPr>
          <w:rFonts w:hint="default" w:eastAsia="仿宋_GB2312" w:cs="Times New Roman"/>
          <w:color w:val="auto"/>
          <w:lang w:val="en-US" w:eastAsia="zh-CN"/>
        </w:rPr>
      </w:pPr>
      <w:r>
        <w:rPr>
          <w:rFonts w:hint="eastAsia" w:eastAsia="仿宋_GB2312" w:cs="Times New Roman"/>
          <w:color w:val="auto"/>
          <w:lang w:val="en-US" w:eastAsia="zh-CN"/>
        </w:rPr>
        <w:t>根据绥棱县各自然保护地总体规划，各保护地均能够</w:t>
      </w:r>
      <w:r>
        <w:rPr>
          <w:rFonts w:hint="eastAsia" w:cs="Times New Roman"/>
          <w:color w:val="auto"/>
          <w:lang w:val="en-US" w:eastAsia="zh-CN"/>
        </w:rPr>
        <w:t>落实就地保护体系</w:t>
      </w:r>
      <w:r>
        <w:rPr>
          <w:rFonts w:hint="eastAsia" w:eastAsia="仿宋_GB2312" w:cs="Times New Roman"/>
          <w:color w:val="auto"/>
          <w:lang w:val="en-US" w:eastAsia="zh-CN"/>
        </w:rPr>
        <w:t>，明确重点保护对象，提升保护区建设质量和管护水平，保持生态系统和自然景观的完整性，维护生物多样性的基本稳定的同时，结合保护地自身情况，以生态旅游为主题，实现保护地生态效益、社会效益和经济效益的统一。此外，各保护地能够采用广播、电视、报刊等舆论工具宣传生物多样性保护相关法律法规和科学知识，提高群众的法制观念。综上，绥棱县十四五生态功能保护修复规划符合《</w:t>
      </w:r>
      <w:r>
        <w:rPr>
          <w:rFonts w:hint="eastAsia" w:cs="Times New Roman"/>
          <w:color w:val="auto"/>
          <w:lang w:val="en-US" w:eastAsia="zh-CN"/>
        </w:rPr>
        <w:t>关于进一步加强生物多样性保护的意见</w:t>
      </w:r>
      <w:r>
        <w:rPr>
          <w:rFonts w:hint="eastAsia" w:eastAsia="仿宋_GB2312" w:cs="Times New Roman"/>
          <w:color w:val="auto"/>
          <w:lang w:val="en-US" w:eastAsia="zh-CN"/>
        </w:rPr>
        <w:t>》相关要求。</w:t>
      </w:r>
    </w:p>
    <w:p>
      <w:pPr>
        <w:pStyle w:val="5"/>
        <w:spacing w:before="156" w:beforeLines="50" w:after="156" w:afterLines="50"/>
        <w:ind w:firstLine="0" w:firstLineChars="0"/>
        <w:rPr>
          <w:rFonts w:eastAsia="仿宋" w:cs="Times New Roman"/>
          <w:b/>
          <w:bCs/>
          <w:color w:val="auto"/>
          <w:sz w:val="28"/>
        </w:rPr>
      </w:pPr>
      <w:r>
        <w:rPr>
          <w:rFonts w:eastAsia="仿宋" w:cs="Times New Roman"/>
          <w:b/>
          <w:bCs/>
          <w:color w:val="auto"/>
          <w:sz w:val="28"/>
        </w:rPr>
        <w:t>2.3.4.</w:t>
      </w:r>
      <w:r>
        <w:rPr>
          <w:rFonts w:hint="eastAsia" w:eastAsia="仿宋" w:cs="Times New Roman"/>
          <w:b/>
          <w:bCs/>
          <w:color w:val="auto"/>
          <w:sz w:val="28"/>
          <w:lang w:val="en-US" w:eastAsia="zh-CN"/>
        </w:rPr>
        <w:t>4</w:t>
      </w:r>
      <w:r>
        <w:rPr>
          <w:rFonts w:eastAsia="仿宋" w:cs="Times New Roman"/>
          <w:b/>
          <w:bCs/>
          <w:color w:val="auto"/>
          <w:sz w:val="28"/>
        </w:rPr>
        <w:t>绥棱县总体格局</w:t>
      </w:r>
    </w:p>
    <w:p>
      <w:pPr>
        <w:ind w:firstLine="560"/>
        <w:rPr>
          <w:rFonts w:eastAsia="仿宋_GB2312" w:cs="Times New Roman"/>
          <w:color w:val="auto"/>
        </w:rPr>
      </w:pPr>
      <w:r>
        <w:rPr>
          <w:rFonts w:eastAsia="仿宋_GB2312" w:cs="Times New Roman"/>
          <w:color w:val="auto"/>
        </w:rPr>
        <w:t>（1）生态安全格局</w:t>
      </w:r>
    </w:p>
    <w:p>
      <w:pPr>
        <w:ind w:firstLine="560"/>
        <w:rPr>
          <w:rFonts w:eastAsia="仿宋_GB2312" w:cs="Times New Roman"/>
          <w:color w:val="auto"/>
        </w:rPr>
      </w:pPr>
      <w:r>
        <w:rPr>
          <w:rFonts w:eastAsia="仿宋_GB2312" w:cs="Times New Roman"/>
          <w:color w:val="auto"/>
        </w:rPr>
        <w:t>以山脉、水系为骨干，重要生态功能区为节点，塑造“一屏三廊多核”的生态系统保护格局。“一屏”是</w:t>
      </w:r>
      <w:r>
        <w:rPr>
          <w:rFonts w:hint="eastAsia" w:eastAsia="仿宋_GB2312" w:cs="Times New Roman"/>
          <w:color w:val="auto"/>
        </w:rPr>
        <w:t>县域北部小兴安岭生态屏障。包括生态建设区和生态保育区，生态保育区为松花江分局绥棱林业局、松花江分局通北林业局、松花江分局沾河林业局、黑龙江大青观森林公园、黑龙江双岔河湿地自然保护区、黑龙江绥棱努敏河自然保护区、绥棱县四海店林木自然保护区等生态斑块，生态保育区作为县域生态环境较好，生态敏感度较高的区域，规划对生态保育区进行严格监控与保护。生态建设区为县域生态保育区以外区域，生态建设区主要是受人工环境影响较大区域，用地类型主要是居民点和耕地，规划城市和乡村建设以及工业和农业生产过程要注重生态保护与景观环境重塑的区域。</w:t>
      </w:r>
      <w:r>
        <w:rPr>
          <w:rFonts w:eastAsia="仿宋_GB2312" w:cs="Times New Roman"/>
          <w:color w:val="auto"/>
        </w:rPr>
        <w:t>“三廊”主要包括努敏河、克音河、泥尔根河 3 条主要河流形成“川字”河流格局，重点保护三条廊道生态景观环境，是饮用水安全、农业生产用水安全的重要保障。</w:t>
      </w:r>
    </w:p>
    <w:p>
      <w:pPr>
        <w:ind w:firstLine="560"/>
        <w:rPr>
          <w:rFonts w:hint="default" w:eastAsia="仿宋_GB2312" w:cs="Times New Roman"/>
          <w:color w:val="auto"/>
          <w:lang w:val="en-US" w:eastAsia="zh-CN"/>
        </w:rPr>
      </w:pPr>
      <w:r>
        <w:rPr>
          <w:rFonts w:hint="eastAsia" w:eastAsia="仿宋_GB2312" w:cs="Times New Roman"/>
          <w:color w:val="auto"/>
          <w:lang w:val="en-US" w:eastAsia="zh-CN"/>
        </w:rPr>
        <w:t>本规划按照《绥棱县国土空间规划》，将生态系统保护格局分为生态保育区和生态建设区。生态保育区主要是</w:t>
      </w:r>
      <w:r>
        <w:rPr>
          <w:rFonts w:hint="eastAsia" w:eastAsia="仿宋_GB2312" w:cs="Times New Roman"/>
          <w:color w:val="auto"/>
        </w:rPr>
        <w:t>以自然恢复为主，加强空间管控。</w:t>
      </w:r>
      <w:r>
        <w:rPr>
          <w:rFonts w:hint="eastAsia" w:eastAsia="仿宋_GB2312" w:cs="Times New Roman"/>
          <w:color w:val="auto"/>
          <w:lang w:val="en-US" w:eastAsia="zh-CN"/>
        </w:rPr>
        <w:t>通过封山育林、控制外源污染，恢复自然面貌，加强生态水体调控等方式，提升水源涵养、水土保持、多样性保护和森林固碳等生态功能。</w:t>
      </w:r>
    </w:p>
    <w:p>
      <w:pPr>
        <w:ind w:firstLine="560"/>
        <w:rPr>
          <w:rFonts w:eastAsia="仿宋_GB2312" w:cs="Times New Roman"/>
          <w:color w:val="auto"/>
        </w:rPr>
      </w:pPr>
      <w:r>
        <w:rPr>
          <w:rFonts w:eastAsia="仿宋_GB2312" w:cs="Times New Roman"/>
          <w:color w:val="auto"/>
        </w:rPr>
        <w:t>（2）农业发展格局</w:t>
      </w:r>
    </w:p>
    <w:p>
      <w:pPr>
        <w:ind w:firstLine="560"/>
        <w:rPr>
          <w:rFonts w:eastAsia="仿宋_GB2312" w:cs="Times New Roman"/>
          <w:color w:val="auto"/>
        </w:rPr>
      </w:pPr>
      <w:r>
        <w:rPr>
          <w:rFonts w:eastAsia="仿宋_GB2312" w:cs="Times New Roman"/>
          <w:color w:val="auto"/>
        </w:rPr>
        <w:t>优先保护县域内耕地，明确粮食生产功能区和重要农产品生产保护区，规划形成“一园三地、两带三区”的农业发展空间格局。</w:t>
      </w:r>
    </w:p>
    <w:p>
      <w:pPr>
        <w:ind w:firstLine="560"/>
        <w:rPr>
          <w:rFonts w:eastAsia="仿宋_GB2312" w:cs="Times New Roman"/>
          <w:color w:val="auto"/>
        </w:rPr>
      </w:pPr>
      <w:r>
        <w:rPr>
          <w:rFonts w:eastAsia="仿宋_GB2312" w:cs="Times New Roman"/>
          <w:color w:val="auto"/>
        </w:rPr>
        <w:t>一园：为县域西南侧中心城镇铁路西侧的绥棱县省级经济开发区。盘活现有企业，大力招商，实现百亿级园区目标。</w:t>
      </w:r>
    </w:p>
    <w:p>
      <w:pPr>
        <w:ind w:firstLine="560"/>
        <w:rPr>
          <w:rFonts w:cs="Times New Roman"/>
          <w:color w:val="auto"/>
        </w:rPr>
      </w:pPr>
      <w:r>
        <w:rPr>
          <w:rFonts w:eastAsia="仿宋_GB2312" w:cs="Times New Roman"/>
          <w:color w:val="auto"/>
        </w:rPr>
        <w:t>三地：依托上集镇、</w:t>
      </w:r>
      <w:r>
        <w:rPr>
          <w:rFonts w:hint="eastAsia" w:eastAsia="仿宋_GB2312" w:cs="Times New Roman"/>
          <w:color w:val="auto"/>
          <w:lang w:val="en-US" w:eastAsia="zh-CN"/>
        </w:rPr>
        <w:t>双岔河镇</w:t>
      </w:r>
      <w:r>
        <w:rPr>
          <w:rFonts w:eastAsia="仿宋_GB2312" w:cs="Times New Roman"/>
          <w:color w:val="auto"/>
        </w:rPr>
        <w:t>和</w:t>
      </w:r>
      <w:r>
        <w:rPr>
          <w:rFonts w:hint="eastAsia" w:eastAsia="仿宋_GB2312" w:cs="Times New Roman"/>
          <w:color w:val="auto"/>
          <w:lang w:val="en-US" w:eastAsia="zh-CN"/>
        </w:rPr>
        <w:t>四海店镇</w:t>
      </w:r>
      <w:r>
        <w:rPr>
          <w:rFonts w:eastAsia="仿宋_GB2312" w:cs="Times New Roman"/>
          <w:color w:val="auto"/>
        </w:rPr>
        <w:t>的资源优势，打造上集镇水稻试验基地，</w:t>
      </w:r>
      <w:r>
        <w:rPr>
          <w:rFonts w:hint="eastAsia" w:eastAsia="仿宋_GB2312" w:cs="Times New Roman"/>
          <w:color w:val="auto"/>
          <w:lang w:val="en-US" w:eastAsia="zh-CN"/>
        </w:rPr>
        <w:t>双岔河镇</w:t>
      </w:r>
      <w:r>
        <w:rPr>
          <w:rFonts w:eastAsia="仿宋_GB2312" w:cs="Times New Roman"/>
          <w:color w:val="auto"/>
        </w:rPr>
        <w:t>玉米、大豆种植基地，</w:t>
      </w:r>
      <w:r>
        <w:rPr>
          <w:rFonts w:hint="eastAsia" w:eastAsia="仿宋_GB2312" w:cs="Times New Roman"/>
          <w:color w:val="auto"/>
          <w:lang w:val="en-US" w:eastAsia="zh-CN"/>
        </w:rPr>
        <w:t>四海店镇</w:t>
      </w:r>
      <w:r>
        <w:rPr>
          <w:rFonts w:eastAsia="仿宋_GB2312" w:cs="Times New Roman"/>
          <w:color w:val="auto"/>
        </w:rPr>
        <w:t>林果业种植示范</w:t>
      </w:r>
      <w:r>
        <w:rPr>
          <w:rFonts w:cs="Times New Roman"/>
          <w:color w:val="auto"/>
        </w:rPr>
        <w:t>基地。</w:t>
      </w:r>
    </w:p>
    <w:p>
      <w:pPr>
        <w:ind w:firstLine="560"/>
        <w:rPr>
          <w:rFonts w:eastAsia="仿宋_GB2312" w:cs="Times New Roman"/>
          <w:color w:val="auto"/>
        </w:rPr>
      </w:pPr>
      <w:r>
        <w:rPr>
          <w:rFonts w:eastAsia="仿宋_GB2312" w:cs="Times New Roman"/>
          <w:color w:val="auto"/>
        </w:rPr>
        <w:t>两带：由南北向的努敏河为界，形成的县域西侧优质大豆产业带和县域东侧优质稻米产业带。</w:t>
      </w:r>
    </w:p>
    <w:p>
      <w:pPr>
        <w:ind w:firstLine="560"/>
        <w:rPr>
          <w:rFonts w:eastAsia="仿宋_GB2312" w:cs="Times New Roman"/>
          <w:color w:val="auto"/>
        </w:rPr>
      </w:pPr>
      <w:r>
        <w:rPr>
          <w:rFonts w:eastAsia="仿宋_GB2312" w:cs="Times New Roman"/>
          <w:color w:val="auto"/>
        </w:rPr>
        <w:t>三区：县域北部山林农业发展区、县域西侧重要农产品生产保护区和县域东侧粮食生产功能区。</w:t>
      </w:r>
    </w:p>
    <w:p>
      <w:pPr>
        <w:ind w:firstLine="560"/>
        <w:rPr>
          <w:rFonts w:eastAsia="仿宋_GB2312" w:cs="Times New Roman"/>
          <w:color w:val="auto"/>
        </w:rPr>
      </w:pPr>
      <w:r>
        <w:rPr>
          <w:rFonts w:eastAsia="仿宋_GB2312" w:cs="Times New Roman"/>
          <w:color w:val="auto"/>
        </w:rPr>
        <w:t>（3）城镇体系空间格局</w:t>
      </w:r>
    </w:p>
    <w:p>
      <w:pPr>
        <w:ind w:firstLine="560"/>
        <w:rPr>
          <w:rFonts w:eastAsia="仿宋_GB2312" w:cs="Times New Roman"/>
          <w:color w:val="auto"/>
        </w:rPr>
      </w:pPr>
      <w:r>
        <w:rPr>
          <w:rFonts w:eastAsia="仿宋_GB2312" w:cs="Times New Roman"/>
          <w:color w:val="auto"/>
        </w:rPr>
        <w:t>规划构建“一主三副、多点开发，一带两廊、网络融合”的县域城镇空间结构。</w:t>
      </w:r>
    </w:p>
    <w:p>
      <w:pPr>
        <w:ind w:firstLine="560"/>
        <w:rPr>
          <w:rFonts w:eastAsia="仿宋_GB2312" w:cs="Times New Roman"/>
          <w:color w:val="auto"/>
        </w:rPr>
      </w:pPr>
      <w:r>
        <w:rPr>
          <w:rFonts w:eastAsia="仿宋_GB2312" w:cs="Times New Roman"/>
          <w:color w:val="auto"/>
        </w:rPr>
        <w:t>一主三副：一主为绥棱县域中心城镇，是绥棱县政治、经济、文化的中心。三副为县域副中心城镇，分别为四海店镇、阁山镇、上集镇，是带动其他乡镇第二产业、第三产业集中发展的城镇，也是向周边地区提供完善的服务设施的城镇。</w:t>
      </w:r>
    </w:p>
    <w:p>
      <w:pPr>
        <w:ind w:firstLine="560"/>
        <w:rPr>
          <w:rFonts w:eastAsia="仿宋_GB2312" w:cs="Times New Roman"/>
          <w:color w:val="auto"/>
        </w:rPr>
      </w:pPr>
      <w:r>
        <w:rPr>
          <w:rFonts w:eastAsia="仿宋_GB2312" w:cs="Times New Roman"/>
          <w:color w:val="auto"/>
        </w:rPr>
        <w:t>多点开发：以一般镇、其他乡为载体，是周边农村地区的农业、农民、农村的“三农”服务基地，发挥各自优势，建设具有特色和活力的乡镇。</w:t>
      </w:r>
    </w:p>
    <w:p>
      <w:pPr>
        <w:ind w:firstLine="560"/>
        <w:rPr>
          <w:rFonts w:eastAsia="仿宋_GB2312" w:cs="Times New Roman"/>
          <w:color w:val="auto"/>
        </w:rPr>
      </w:pPr>
      <w:r>
        <w:rPr>
          <w:rFonts w:eastAsia="仿宋_GB2312" w:cs="Times New Roman"/>
          <w:color w:val="auto"/>
        </w:rPr>
        <w:t>一带两廊：一带是以绥棱县域南北向省道为依托，形成绥四公路城镇发展带，是城镇建设和产业发展的主体引导空间，是绥棱县城镇主要发展带。两廊是以国道 G333 为依托形成伊绥黑开放走廊，以高速公路 S12 为依托形成伊绥齐开放走廊，空间上形成南北、东西带动扩散趋势。</w:t>
      </w:r>
    </w:p>
    <w:p>
      <w:pPr>
        <w:ind w:firstLine="560"/>
        <w:rPr>
          <w:rFonts w:eastAsia="仿宋_GB2312" w:cs="Times New Roman"/>
          <w:color w:val="auto"/>
        </w:rPr>
      </w:pPr>
      <w:r>
        <w:rPr>
          <w:rFonts w:eastAsia="仿宋_GB2312" w:cs="Times New Roman"/>
          <w:color w:val="auto"/>
        </w:rPr>
        <w:t>网络融合：通过不同等级规模的乡镇与交通道路形成多向、密集的网络联系。从而协调全域资源开发与环境保护的关系，强化城镇对周边农村地域的带动，推进城乡一体化。</w:t>
      </w:r>
    </w:p>
    <w:p>
      <w:pPr>
        <w:pStyle w:val="5"/>
        <w:spacing w:before="156" w:beforeLines="50" w:after="156" w:afterLines="50"/>
        <w:ind w:firstLine="0" w:firstLineChars="0"/>
        <w:rPr>
          <w:rFonts w:eastAsia="仿宋" w:cs="Times New Roman"/>
          <w:b/>
          <w:bCs/>
          <w:color w:val="auto"/>
          <w:sz w:val="28"/>
        </w:rPr>
      </w:pPr>
      <w:r>
        <w:rPr>
          <w:rFonts w:eastAsia="仿宋" w:cs="Times New Roman"/>
          <w:b/>
          <w:bCs/>
          <w:color w:val="auto"/>
          <w:sz w:val="28"/>
        </w:rPr>
        <w:t>2.3.4.</w:t>
      </w:r>
      <w:r>
        <w:rPr>
          <w:rFonts w:hint="eastAsia" w:eastAsia="仿宋" w:cs="Times New Roman"/>
          <w:b/>
          <w:bCs/>
          <w:color w:val="auto"/>
          <w:sz w:val="28"/>
          <w:lang w:val="en-US" w:eastAsia="zh-CN"/>
        </w:rPr>
        <w:t>5</w:t>
      </w:r>
      <w:r>
        <w:rPr>
          <w:rFonts w:eastAsia="仿宋" w:cs="Times New Roman"/>
          <w:b/>
          <w:bCs/>
          <w:color w:val="auto"/>
          <w:sz w:val="28"/>
        </w:rPr>
        <w:t>生态系统服务功能</w:t>
      </w:r>
    </w:p>
    <w:p>
      <w:pPr>
        <w:ind w:firstLine="560"/>
        <w:rPr>
          <w:rFonts w:cs="Times New Roman"/>
          <w:color w:val="auto"/>
        </w:rPr>
      </w:pPr>
      <w:r>
        <w:rPr>
          <w:rFonts w:hint="eastAsia" w:cs="Times New Roman"/>
          <w:color w:val="auto"/>
        </w:rPr>
        <w:t>1、技术流程</w:t>
      </w:r>
    </w:p>
    <w:p>
      <w:pPr>
        <w:ind w:firstLine="560"/>
        <w:rPr>
          <w:rFonts w:cs="Times New Roman"/>
          <w:color w:val="auto"/>
        </w:rPr>
      </w:pPr>
      <w:r>
        <w:rPr>
          <w:rFonts w:hint="eastAsia" w:cs="Times New Roman"/>
          <w:color w:val="auto"/>
        </w:rPr>
        <w:t>根据《全国生态状况调查评估技术规范——生态系统服务功能评估》（HJ1173-2021），生态系统服务是指生态系统为人类提供的防风固沙、土壤保持、水源涵养、生物多样性维护等方面的功能。绥棱县地处于小兴安岭南端西麓绥化市东北部，地区防风固沙功能不明显，主要生态系统服务功能为水源涵养及土壤保持。因此，规划从水源涵养和土壤保持两个方面展开分析，用以评价绥棱县生态系统服务功能。</w:t>
      </w:r>
      <w:r>
        <w:rPr>
          <w:rFonts w:eastAsia="仿宋_GB2312" w:cs="Times New Roman"/>
          <w:color w:val="auto"/>
        </w:rPr>
        <w:t>绥棱县</w:t>
      </w:r>
      <w:r>
        <w:rPr>
          <w:rFonts w:hint="eastAsia" w:eastAsia="仿宋_GB2312" w:cs="Times New Roman"/>
          <w:color w:val="auto"/>
        </w:rPr>
        <w:t>生态系统服务功能</w:t>
      </w:r>
      <w:r>
        <w:rPr>
          <w:rFonts w:eastAsia="仿宋_GB2312" w:cs="Times New Roman"/>
          <w:color w:val="auto"/>
        </w:rPr>
        <w:t>总体技术流程如下：</w:t>
      </w:r>
    </w:p>
    <w:p>
      <w:pPr>
        <w:numPr>
          <w:ilvl w:val="0"/>
          <w:numId w:val="3"/>
        </w:numPr>
        <w:ind w:firstLine="560"/>
        <w:rPr>
          <w:rFonts w:eastAsia="仿宋_GB2312" w:cs="Times New Roman"/>
          <w:color w:val="auto"/>
        </w:rPr>
      </w:pPr>
      <w:r>
        <w:rPr>
          <w:rFonts w:hint="eastAsia" w:cs="Times New Roman"/>
          <w:color w:val="auto"/>
        </w:rPr>
        <w:t>确定生态系统服务功能评估区空间范围：</w:t>
      </w:r>
      <w:r>
        <w:rPr>
          <w:rFonts w:eastAsia="仿宋_GB2312" w:cs="Times New Roman"/>
          <w:color w:val="auto"/>
        </w:rPr>
        <w:t>将本次规划范围（即绥棱县行政区划范围）作为评估区空间范围</w:t>
      </w:r>
      <w:r>
        <w:rPr>
          <w:rFonts w:hint="eastAsia" w:eastAsia="仿宋_GB2312" w:cs="Times New Roman"/>
          <w:color w:val="auto"/>
        </w:rPr>
        <w:t>。</w:t>
      </w:r>
    </w:p>
    <w:p>
      <w:pPr>
        <w:ind w:firstLine="560"/>
        <w:rPr>
          <w:rFonts w:cs="Times New Roman"/>
          <w:color w:val="auto"/>
        </w:rPr>
      </w:pPr>
      <w:r>
        <w:rPr>
          <w:rFonts w:hint="eastAsia" w:cs="Times New Roman"/>
          <w:color w:val="auto"/>
        </w:rPr>
        <w:t>（2）</w:t>
      </w:r>
      <w:r>
        <w:rPr>
          <w:rFonts w:cs="Times New Roman"/>
          <w:color w:val="auto"/>
        </w:rPr>
        <w:t>基础数据的收集工作：收集国土空间规划、水土保持规划、湿地规划等相关资料，结合</w:t>
      </w:r>
      <w:r>
        <w:rPr>
          <w:rFonts w:hint="eastAsia" w:cs="Times New Roman"/>
          <w:color w:val="auto"/>
        </w:rPr>
        <w:t>生态系统空间分布、</w:t>
      </w:r>
      <w:r>
        <w:rPr>
          <w:rFonts w:cs="Times New Roman"/>
          <w:color w:val="auto"/>
        </w:rPr>
        <w:t>气象、土壤、地形、植被覆盖等数据，</w:t>
      </w:r>
      <w:r>
        <w:rPr>
          <w:rFonts w:hint="eastAsia" w:cs="Times New Roman"/>
          <w:color w:val="auto"/>
        </w:rPr>
        <w:t>采取相应的指标提取和模型运算等方法，计算区域现状水源涵养量和土壤保持量。</w:t>
      </w:r>
    </w:p>
    <w:p>
      <w:pPr>
        <w:ind w:firstLine="560"/>
        <w:rPr>
          <w:rFonts w:cs="Times New Roman"/>
          <w:color w:val="auto"/>
        </w:rPr>
      </w:pPr>
      <w:r>
        <w:rPr>
          <w:rFonts w:hint="eastAsia" w:cs="Times New Roman"/>
          <w:color w:val="auto"/>
        </w:rPr>
        <w:t>（3）以水源涵养、土壤保持的评估结果为依据定量评估生态系统服务功能的空间格局，明确不同类型生态系统服务功能空间分布。</w:t>
      </w:r>
    </w:p>
    <w:p>
      <w:pPr>
        <w:ind w:firstLine="0" w:firstLineChars="0"/>
        <w:rPr>
          <w:rFonts w:cs="Times New Roman"/>
          <w:color w:val="auto"/>
        </w:rPr>
      </w:pPr>
      <w:r>
        <w:rPr>
          <w:rFonts w:hint="eastAsia" w:cs="Times New Roman"/>
          <w:color w:val="auto"/>
        </w:rPr>
        <w:object>
          <v:shape id="_x0000_i1026" o:spt="75" type="#_x0000_t75" style="height:507.4pt;width:415pt;" o:ole="t" filled="f" o:preferrelative="t" stroked="f" coordsize="21600,21600">
            <v:path/>
            <v:fill on="f" focussize="0,0"/>
            <v:stroke on="f" joinstyle="miter"/>
            <v:imagedata r:id="rId12" o:title=""/>
            <o:lock v:ext="edit" aspectratio="f"/>
            <w10:wrap type="none"/>
            <w10:anchorlock/>
          </v:shape>
          <o:OLEObject Type="Embed" ProgID="Visio.Drawing.11" ShapeID="_x0000_i1026" DrawAspect="Content" ObjectID="_1468075726" r:id="rId11">
            <o:LockedField>false</o:LockedField>
          </o:OLEObject>
        </w:object>
      </w:r>
    </w:p>
    <w:p>
      <w:pPr>
        <w:ind w:firstLine="0" w:firstLineChars="0"/>
        <w:jc w:val="center"/>
        <w:rPr>
          <w:rFonts w:cs="Times New Roman"/>
          <w:b/>
          <w:bCs/>
          <w:color w:val="auto"/>
        </w:rPr>
      </w:pPr>
      <w:r>
        <w:rPr>
          <w:rFonts w:hint="eastAsia" w:cs="Times New Roman"/>
          <w:b/>
          <w:bCs/>
          <w:color w:val="auto"/>
        </w:rPr>
        <w:t>图2.3-1 生态系统服务功能评估总体技术流程图</w:t>
      </w:r>
    </w:p>
    <w:p>
      <w:pPr>
        <w:ind w:firstLine="560"/>
        <w:rPr>
          <w:rFonts w:cs="Times New Roman"/>
          <w:color w:val="auto"/>
        </w:rPr>
      </w:pPr>
      <w:r>
        <w:rPr>
          <w:rFonts w:hint="eastAsia" w:cs="Times New Roman"/>
          <w:color w:val="auto"/>
        </w:rPr>
        <w:t>2、水源涵养量</w:t>
      </w:r>
    </w:p>
    <w:p>
      <w:pPr>
        <w:ind w:firstLine="560"/>
        <w:rPr>
          <w:rFonts w:cs="Times New Roman"/>
          <w:color w:val="auto"/>
        </w:rPr>
      </w:pPr>
      <w:r>
        <w:rPr>
          <w:rFonts w:hint="eastAsia" w:cs="Times New Roman"/>
          <w:color w:val="auto"/>
        </w:rPr>
        <w:t>水源涵养是陆地生态系统对降雨进行分配的一个过程，通过土壤的入渗、微地形的截留、植物拦蓄与蒸腾、地表蒸发等，再利用区域生态系统特定结构，实现降雨、水流、水循环的调控来影响水源涵养量。水源涵养的生态功能主要体现在消减降雨侵蚀力，减轻土壤溅蚀，缓和径流形成，拉长行洪时间，降低洪水危害，增加土壤含水量，补充地下水，滞洪补枯、降低径流波动，保证水质等方面。陆地生态系统中影响水源涵养的因素很多，主要有地表覆盖因子、降雨强度因子、地形地貌因子、土壤植被类型等。本规划通过下述水量平衡方程计算区域水源涵养量：</w:t>
      </w:r>
    </w:p>
    <w:p>
      <w:pPr>
        <w:ind w:firstLine="0" w:firstLineChars="0"/>
        <w:jc w:val="center"/>
        <w:rPr>
          <w:rFonts w:cs="Times New Roman"/>
          <w:color w:val="auto"/>
        </w:rPr>
      </w:pPr>
      <w:r>
        <w:rPr>
          <w:rFonts w:cs="Times New Roman"/>
          <w:color w:val="auto"/>
          <w:position w:val="-26"/>
        </w:rPr>
        <w:object>
          <v:shape id="_x0000_i1027" o:spt="75" type="#_x0000_t75" style="height:34pt;width:191pt;" o:ole="t" filled="f" o:preferrelative="t" stroked="f" coordsize="21600,21600">
            <v:path/>
            <v:fill on="f" focussize="0,0"/>
            <v:stroke on="f" joinstyle="miter"/>
            <v:imagedata r:id="rId14" o:title=""/>
            <o:lock v:ext="edit" aspectratio="t"/>
            <w10:wrap type="none"/>
            <w10:anchorlock/>
          </v:shape>
          <o:OLEObject Type="Embed" ProgID="Equation.3" ShapeID="_x0000_i1027" DrawAspect="Content" ObjectID="_1468075727" r:id="rId13">
            <o:LockedField>false</o:LockedField>
          </o:OLEObject>
        </w:object>
      </w:r>
    </w:p>
    <w:p>
      <w:pPr>
        <w:ind w:firstLine="560"/>
        <w:textAlignment w:val="center"/>
        <w:rPr>
          <w:rFonts w:cs="Times New Roman"/>
          <w:color w:val="auto"/>
        </w:rPr>
      </w:pPr>
      <w:r>
        <w:rPr>
          <w:rFonts w:hint="eastAsia" w:cs="Times New Roman"/>
          <w:color w:val="auto"/>
        </w:rPr>
        <w:t>式中：</w:t>
      </w:r>
      <w:r>
        <w:rPr>
          <w:rFonts w:hint="eastAsia" w:cs="Times New Roman"/>
          <w:color w:val="auto"/>
        </w:rPr>
        <w:object>
          <v:shape id="_x0000_i1028" o:spt="75" type="#_x0000_t75" style="height:20pt;width:21pt;" o:ole="t" filled="f" o:preferrelative="t" stroked="f" coordsize="21600,21600">
            <v:path/>
            <v:fill on="f" focussize="0,0"/>
            <v:stroke on="f" joinstyle="miter"/>
            <v:imagedata r:id="rId16" o:title=""/>
            <o:lock v:ext="edit" aspectratio="t"/>
            <w10:wrap type="none"/>
            <w10:anchorlock/>
          </v:shape>
          <o:OLEObject Type="Embed" ProgID="Equation.3" ShapeID="_x0000_i1028" DrawAspect="Content" ObjectID="_1468075728" r:id="rId15">
            <o:LockedField>false</o:LockedField>
          </o:OLEObject>
        </w:object>
      </w:r>
      <w:r>
        <w:rPr>
          <w:rFonts w:hint="eastAsia" w:cs="Times New Roman"/>
          <w:color w:val="auto"/>
        </w:rPr>
        <w:t>—水源涵养量，m</w:t>
      </w:r>
      <w:r>
        <w:rPr>
          <w:rFonts w:hint="eastAsia" w:cs="Times New Roman"/>
          <w:color w:val="auto"/>
          <w:vertAlign w:val="superscript"/>
        </w:rPr>
        <w:t>3</w:t>
      </w:r>
      <w:r>
        <w:rPr>
          <w:rFonts w:hint="eastAsia" w:cs="Times New Roman"/>
          <w:color w:val="auto"/>
        </w:rPr>
        <w:t>/a；</w:t>
      </w:r>
    </w:p>
    <w:p>
      <w:pPr>
        <w:ind w:firstLine="1400" w:firstLineChars="500"/>
        <w:rPr>
          <w:rFonts w:cs="Times New Roman"/>
          <w:color w:val="auto"/>
        </w:rPr>
      </w:pPr>
      <w:r>
        <w:rPr>
          <w:rFonts w:hint="eastAsia" w:cs="Times New Roman"/>
          <w:i/>
          <w:iCs/>
          <w:color w:val="auto"/>
        </w:rPr>
        <w:t>i</w:t>
      </w:r>
      <w:r>
        <w:rPr>
          <w:rFonts w:hint="eastAsia" w:cs="Times New Roman"/>
          <w:color w:val="auto"/>
        </w:rPr>
        <w:t>—第i类生态系统类型；</w:t>
      </w:r>
    </w:p>
    <w:p>
      <w:pPr>
        <w:ind w:firstLine="1400" w:firstLineChars="500"/>
        <w:rPr>
          <w:rFonts w:cs="Times New Roman"/>
          <w:color w:val="auto"/>
        </w:rPr>
      </w:pPr>
      <w:r>
        <w:rPr>
          <w:rFonts w:hint="eastAsia" w:cs="Times New Roman"/>
          <w:i/>
          <w:iCs/>
          <w:color w:val="auto"/>
        </w:rPr>
        <w:t>n</w:t>
      </w:r>
      <w:r>
        <w:rPr>
          <w:rFonts w:hint="eastAsia" w:cs="Times New Roman"/>
          <w:color w:val="auto"/>
        </w:rPr>
        <w:t>—生态系统类型总数；</w:t>
      </w:r>
    </w:p>
    <w:p>
      <w:pPr>
        <w:ind w:firstLine="1400" w:firstLineChars="500"/>
        <w:rPr>
          <w:rFonts w:cs="Times New Roman"/>
          <w:color w:val="auto"/>
        </w:rPr>
      </w:pPr>
      <w:r>
        <w:rPr>
          <w:rFonts w:hint="eastAsia" w:cs="Times New Roman"/>
          <w:i/>
          <w:iCs/>
          <w:color w:val="auto"/>
        </w:rPr>
        <w:t>A</w:t>
      </w:r>
      <w:r>
        <w:rPr>
          <w:rFonts w:hint="eastAsia" w:cs="Times New Roman"/>
          <w:i/>
          <w:iCs/>
          <w:color w:val="auto"/>
          <w:vertAlign w:val="subscript"/>
        </w:rPr>
        <w:t>i</w:t>
      </w:r>
      <w:r>
        <w:rPr>
          <w:rFonts w:hint="eastAsia" w:cs="Times New Roman"/>
          <w:color w:val="auto"/>
        </w:rPr>
        <w:t>—i类生态系统的面积，m</w:t>
      </w:r>
      <w:r>
        <w:rPr>
          <w:rFonts w:hint="eastAsia" w:cs="Times New Roman"/>
          <w:color w:val="auto"/>
          <w:vertAlign w:val="superscript"/>
        </w:rPr>
        <w:t>2</w:t>
      </w:r>
      <w:r>
        <w:rPr>
          <w:rFonts w:hint="eastAsia" w:cs="Times New Roman"/>
          <w:color w:val="auto"/>
        </w:rPr>
        <w:t>；</w:t>
      </w:r>
    </w:p>
    <w:p>
      <w:pPr>
        <w:ind w:firstLine="1400" w:firstLineChars="500"/>
        <w:rPr>
          <w:rFonts w:cs="Times New Roman"/>
          <w:color w:val="auto"/>
        </w:rPr>
      </w:pPr>
      <w:r>
        <w:rPr>
          <w:rFonts w:hint="eastAsia" w:cs="Times New Roman"/>
          <w:i/>
          <w:iCs/>
          <w:color w:val="auto"/>
        </w:rPr>
        <w:t>P</w:t>
      </w:r>
      <w:r>
        <w:rPr>
          <w:rFonts w:hint="eastAsia" w:cs="Times New Roman"/>
          <w:i/>
          <w:iCs/>
          <w:color w:val="auto"/>
          <w:vertAlign w:val="subscript"/>
        </w:rPr>
        <w:t>i</w:t>
      </w:r>
      <w:r>
        <w:rPr>
          <w:rFonts w:hint="eastAsia" w:cs="Times New Roman"/>
          <w:color w:val="auto"/>
        </w:rPr>
        <w:t>—产流降雨量，mm/a；</w:t>
      </w:r>
    </w:p>
    <w:p>
      <w:pPr>
        <w:ind w:firstLine="1400" w:firstLineChars="500"/>
        <w:rPr>
          <w:rFonts w:cs="Times New Roman"/>
          <w:color w:val="auto"/>
        </w:rPr>
      </w:pPr>
      <w:r>
        <w:rPr>
          <w:rFonts w:hint="eastAsia" w:cs="Times New Roman"/>
          <w:i/>
          <w:iCs/>
          <w:color w:val="auto"/>
        </w:rPr>
        <w:t>R</w:t>
      </w:r>
      <w:r>
        <w:rPr>
          <w:rFonts w:hint="eastAsia" w:cs="Times New Roman"/>
          <w:i/>
          <w:iCs/>
          <w:color w:val="auto"/>
          <w:vertAlign w:val="subscript"/>
        </w:rPr>
        <w:t>i</w:t>
      </w:r>
      <w:r>
        <w:rPr>
          <w:rFonts w:hint="eastAsia" w:cs="Times New Roman"/>
          <w:color w:val="auto"/>
        </w:rPr>
        <w:t>—地表径流量，mm/a；</w:t>
      </w:r>
    </w:p>
    <w:p>
      <w:pPr>
        <w:ind w:firstLine="1400" w:firstLineChars="500"/>
        <w:rPr>
          <w:rFonts w:cs="Times New Roman"/>
          <w:color w:val="auto"/>
        </w:rPr>
      </w:pPr>
      <w:r>
        <w:rPr>
          <w:rFonts w:hint="eastAsia" w:cs="Times New Roman"/>
          <w:i/>
          <w:iCs/>
          <w:color w:val="auto"/>
        </w:rPr>
        <w:t>ET</w:t>
      </w:r>
      <w:r>
        <w:rPr>
          <w:rFonts w:hint="eastAsia" w:cs="Times New Roman"/>
          <w:i/>
          <w:iCs/>
          <w:color w:val="auto"/>
          <w:vertAlign w:val="subscript"/>
        </w:rPr>
        <w:t>i</w:t>
      </w:r>
      <w:r>
        <w:rPr>
          <w:rFonts w:hint="eastAsia" w:cs="Times New Roman"/>
          <w:color w:val="auto"/>
        </w:rPr>
        <w:t>—蒸散发量，mm/a；</w:t>
      </w:r>
    </w:p>
    <w:p>
      <w:pPr>
        <w:ind w:firstLine="560"/>
        <w:rPr>
          <w:rFonts w:cs="Times New Roman"/>
          <w:color w:val="auto"/>
        </w:rPr>
      </w:pPr>
      <w:r>
        <w:rPr>
          <w:rFonts w:hint="eastAsia" w:cs="Times New Roman"/>
          <w:color w:val="auto"/>
        </w:rPr>
        <w:t>规划利用Arcgis统计绥棱县各类生态系统面积，根据区域降雨量、地表径流量和蒸散发量，利用栅格计算器对降水量、地表径流量和蒸散量进行减法运算，之后进行分类处理，最终</w:t>
      </w:r>
      <w:r>
        <w:rPr>
          <w:rFonts w:cs="Times New Roman"/>
          <w:color w:val="auto"/>
        </w:rPr>
        <w:t>得到</w:t>
      </w:r>
      <w:r>
        <w:rPr>
          <w:rFonts w:hint="eastAsia" w:cs="Times New Roman"/>
          <w:color w:val="auto"/>
        </w:rPr>
        <w:t>区域现状</w:t>
      </w:r>
      <w:r>
        <w:rPr>
          <w:rFonts w:cs="Times New Roman"/>
          <w:color w:val="auto"/>
        </w:rPr>
        <w:t>水源涵养量</w:t>
      </w:r>
      <w:r>
        <w:rPr>
          <w:rFonts w:hint="eastAsia" w:cs="Times New Roman"/>
          <w:color w:val="auto"/>
        </w:rPr>
        <w:t>。数值较大</w:t>
      </w:r>
      <w:r>
        <w:rPr>
          <w:rFonts w:cs="Times New Roman"/>
          <w:color w:val="auto"/>
        </w:rPr>
        <w:t>，</w:t>
      </w:r>
      <w:r>
        <w:rPr>
          <w:rFonts w:hint="eastAsia" w:cs="Times New Roman"/>
          <w:color w:val="auto"/>
        </w:rPr>
        <w:t>说明水源涵养功能较好。反之，水源涵养功能差，具体见附图7。</w:t>
      </w:r>
    </w:p>
    <w:p>
      <w:pPr>
        <w:ind w:firstLine="560"/>
        <w:rPr>
          <w:color w:val="auto"/>
        </w:rPr>
      </w:pPr>
      <w:r>
        <w:rPr>
          <w:rFonts w:hint="eastAsia" w:cs="Times New Roman"/>
          <w:color w:val="auto"/>
        </w:rPr>
        <w:t>根据模型运算，松花江分局绥棱林业局、沾河林业局和通北林业局水源涵养量为848.67万立方米，该区域森林生态系统分布广泛，水源涵养功能较好；绥棱县中部及西南部水源涵养量为814.66万立方米，主要分布农田生态系统，水源涵养功能一般。</w:t>
      </w:r>
    </w:p>
    <w:p>
      <w:pPr>
        <w:ind w:firstLine="560"/>
        <w:rPr>
          <w:rFonts w:cs="Times New Roman"/>
          <w:color w:val="auto"/>
        </w:rPr>
      </w:pPr>
      <w:r>
        <w:rPr>
          <w:rFonts w:hint="eastAsia" w:cs="Times New Roman"/>
          <w:color w:val="auto"/>
        </w:rPr>
        <w:t>3、土壤保持量</w:t>
      </w:r>
    </w:p>
    <w:p>
      <w:pPr>
        <w:ind w:firstLine="560"/>
        <w:rPr>
          <w:rFonts w:cs="Times New Roman"/>
          <w:color w:val="auto"/>
        </w:rPr>
      </w:pPr>
      <w:r>
        <w:rPr>
          <w:rFonts w:hint="eastAsia" w:cs="Times New Roman"/>
          <w:color w:val="auto"/>
        </w:rPr>
        <w:t>土壤保持指</w:t>
      </w:r>
      <w:r>
        <w:rPr>
          <w:rFonts w:cs="Times New Roman"/>
          <w:color w:val="auto"/>
        </w:rPr>
        <w:t>生态系统通过其结构与过程保护土壤，降低雨水的侵蚀能力，减少土壤流失，防止泥沙淤积的功能。</w:t>
      </w:r>
      <w:r>
        <w:rPr>
          <w:rFonts w:hint="eastAsia" w:cs="Times New Roman"/>
          <w:color w:val="auto"/>
        </w:rPr>
        <w:t>规划基于修正土壤流失方程（RUSLE）计算绥棱县土壤保持程度：</w:t>
      </w:r>
    </w:p>
    <w:p>
      <w:pPr>
        <w:ind w:firstLine="0" w:firstLineChars="0"/>
        <w:jc w:val="center"/>
        <w:rPr>
          <w:rFonts w:cs="Times New Roman"/>
          <w:color w:val="auto"/>
        </w:rPr>
      </w:pPr>
      <w:r>
        <w:rPr>
          <w:rFonts w:cs="Times New Roman"/>
          <w:color w:val="auto"/>
        </w:rPr>
        <w:object>
          <v:shape id="_x0000_i1029" o:spt="75" type="#_x0000_t75" style="height:22pt;width:96.95pt;" o:ole="t" filled="f" o:preferrelative="t" stroked="f" coordsize="21600,21600">
            <v:path/>
            <v:fill on="f" focussize="0,0"/>
            <v:stroke on="f" joinstyle="miter"/>
            <v:imagedata r:id="rId18" o:title=""/>
            <o:lock v:ext="edit" aspectratio="t"/>
            <w10:wrap type="none"/>
            <w10:anchorlock/>
          </v:shape>
          <o:OLEObject Type="Embed" ProgID="Equation.3" ShapeID="_x0000_i1029" DrawAspect="Content" ObjectID="_1468075729" r:id="rId17">
            <o:LockedField>false</o:LockedField>
          </o:OLEObject>
        </w:object>
      </w:r>
    </w:p>
    <w:p>
      <w:pPr>
        <w:ind w:firstLine="0" w:firstLineChars="0"/>
        <w:jc w:val="center"/>
        <w:rPr>
          <w:rFonts w:cs="Times New Roman"/>
          <w:color w:val="auto"/>
        </w:rPr>
      </w:pPr>
      <w:r>
        <w:rPr>
          <w:rFonts w:cs="Times New Roman"/>
          <w:color w:val="auto"/>
        </w:rPr>
        <w:object>
          <v:shape id="_x0000_i1030" o:spt="75" type="#_x0000_t75" style="height:22pt;width:120pt;" o:ole="t" filled="f" o:preferrelative="t" stroked="f" coordsize="21600,21600">
            <v:path/>
            <v:fill on="f" focussize="0,0"/>
            <v:stroke on="f" joinstyle="miter"/>
            <v:imagedata r:id="rId20" o:title=""/>
            <o:lock v:ext="edit" aspectratio="t"/>
            <w10:wrap type="none"/>
            <w10:anchorlock/>
          </v:shape>
          <o:OLEObject Type="Embed" ProgID="Equation.3" ShapeID="_x0000_i1030" DrawAspect="Content" ObjectID="_1468075730" r:id="rId19">
            <o:LockedField>false</o:LockedField>
          </o:OLEObject>
        </w:object>
      </w:r>
    </w:p>
    <w:p>
      <w:pPr>
        <w:ind w:firstLine="0" w:firstLineChars="0"/>
        <w:jc w:val="center"/>
        <w:rPr>
          <w:rFonts w:cs="Times New Roman"/>
          <w:color w:val="auto"/>
        </w:rPr>
      </w:pPr>
      <w:r>
        <w:rPr>
          <w:rFonts w:cs="Times New Roman"/>
          <w:color w:val="auto"/>
        </w:rPr>
        <w:object>
          <v:shape id="_x0000_i1031" o:spt="75" type="#_x0000_t75" style="height:22pt;width:142pt;" o:ole="t" filled="f" o:preferrelative="t" stroked="f" coordsize="21600,21600">
            <v:path/>
            <v:fill on="f" focussize="0,0"/>
            <v:stroke on="f" joinstyle="miter"/>
            <v:imagedata r:id="rId22" o:title=""/>
            <o:lock v:ext="edit" aspectratio="t"/>
            <w10:wrap type="none"/>
            <w10:anchorlock/>
          </v:shape>
          <o:OLEObject Type="Embed" ProgID="Equation.3" ShapeID="_x0000_i1031" DrawAspect="Content" ObjectID="_1468075731" r:id="rId21">
            <o:LockedField>false</o:LockedField>
          </o:OLEObject>
        </w:object>
      </w:r>
    </w:p>
    <w:p>
      <w:pPr>
        <w:ind w:firstLine="560"/>
        <w:textAlignment w:val="center"/>
        <w:rPr>
          <w:rFonts w:cs="Times New Roman"/>
          <w:color w:val="auto"/>
        </w:rPr>
      </w:pPr>
      <w:r>
        <w:rPr>
          <w:rFonts w:hint="eastAsia" w:cs="Times New Roman"/>
          <w:color w:val="auto"/>
        </w:rPr>
        <w:t>式中：</w:t>
      </w:r>
      <w:r>
        <w:rPr>
          <w:rFonts w:hint="eastAsia" w:cs="Times New Roman"/>
          <w:color w:val="auto"/>
        </w:rPr>
        <w:object>
          <v:shape id="_x0000_i1032" o:spt="75" type="#_x0000_t75" style="height:20pt;width:19pt;" o:ole="t" filled="f" o:preferrelative="t" stroked="f" coordsize="21600,21600">
            <v:path/>
            <v:fill on="f" focussize="0,0"/>
            <v:stroke on="f" joinstyle="miter"/>
            <v:imagedata r:id="rId24" o:title=""/>
            <o:lock v:ext="edit" aspectratio="t"/>
            <w10:wrap type="none"/>
            <w10:anchorlock/>
          </v:shape>
          <o:OLEObject Type="Embed" ProgID="Equation.3" ShapeID="_x0000_i1032" DrawAspect="Content" ObjectID="_1468075732" r:id="rId23">
            <o:LockedField>false</o:LockedField>
          </o:OLEObject>
        </w:object>
      </w:r>
      <w:r>
        <w:rPr>
          <w:rFonts w:hint="eastAsia" w:cs="Times New Roman"/>
          <w:color w:val="auto"/>
        </w:rPr>
        <w:t>——土壤保持量，t/（hm</w:t>
      </w:r>
      <w:r>
        <w:rPr>
          <w:rFonts w:hint="eastAsia" w:cs="Times New Roman"/>
          <w:color w:val="auto"/>
          <w:vertAlign w:val="superscript"/>
        </w:rPr>
        <w:t>2</w:t>
      </w:r>
      <w:r>
        <w:rPr>
          <w:rFonts w:hint="eastAsia" w:cs="Times New Roman"/>
          <w:color w:val="auto"/>
        </w:rPr>
        <w:t>·a）；</w:t>
      </w:r>
    </w:p>
    <w:p>
      <w:pPr>
        <w:ind w:firstLine="1400" w:firstLineChars="500"/>
        <w:textAlignment w:val="center"/>
        <w:rPr>
          <w:rFonts w:cs="Times New Roman"/>
          <w:color w:val="auto"/>
        </w:rPr>
      </w:pPr>
      <w:r>
        <w:rPr>
          <w:rFonts w:cs="Times New Roman"/>
          <w:color w:val="auto"/>
        </w:rPr>
        <w:object>
          <v:shape id="_x0000_i1033" o:spt="75" type="#_x0000_t75" style="height:22pt;width:28pt;" o:ole="t" filled="f" o:preferrelative="t" stroked="f" coordsize="21600,21600">
            <v:path/>
            <v:fill on="f" focussize="0,0"/>
            <v:stroke on="f" joinstyle="miter"/>
            <v:imagedata r:id="rId26" o:title=""/>
            <o:lock v:ext="edit" aspectratio="t"/>
            <w10:wrap type="none"/>
            <w10:anchorlock/>
          </v:shape>
          <o:OLEObject Type="Embed" ProgID="Equation.3" ShapeID="_x0000_i1033" DrawAspect="Content" ObjectID="_1468075733" r:id="rId25">
            <o:LockedField>false</o:LockedField>
          </o:OLEObject>
        </w:object>
      </w:r>
      <w:r>
        <w:rPr>
          <w:rFonts w:hint="eastAsia" w:cs="Times New Roman"/>
          <w:color w:val="auto"/>
        </w:rPr>
        <w:t>——潜在土壤侵蚀量，t/（hm</w:t>
      </w:r>
      <w:r>
        <w:rPr>
          <w:rFonts w:hint="eastAsia" w:cs="Times New Roman"/>
          <w:color w:val="auto"/>
          <w:vertAlign w:val="superscript"/>
        </w:rPr>
        <w:t>2</w:t>
      </w:r>
      <w:r>
        <w:rPr>
          <w:rFonts w:hint="eastAsia" w:cs="Times New Roman"/>
          <w:color w:val="auto"/>
        </w:rPr>
        <w:t>·a）；</w:t>
      </w:r>
    </w:p>
    <w:p>
      <w:pPr>
        <w:ind w:firstLine="1400" w:firstLineChars="500"/>
        <w:textAlignment w:val="center"/>
        <w:rPr>
          <w:rFonts w:cs="Times New Roman"/>
          <w:color w:val="auto"/>
        </w:rPr>
      </w:pPr>
      <w:r>
        <w:rPr>
          <w:rFonts w:cs="Times New Roman"/>
          <w:color w:val="auto"/>
        </w:rPr>
        <w:object>
          <v:shape id="_x0000_i1034" o:spt="75" type="#_x0000_t75" style="height:22pt;width:27pt;" o:ole="t" filled="f" o:preferrelative="t" stroked="f" coordsize="21600,21600">
            <v:path/>
            <v:fill on="f" focussize="0,0"/>
            <v:stroke on="f" joinstyle="miter"/>
            <v:imagedata r:id="rId28" o:title=""/>
            <o:lock v:ext="edit" aspectratio="t"/>
            <w10:wrap type="none"/>
            <w10:anchorlock/>
          </v:shape>
          <o:OLEObject Type="Embed" ProgID="Equation.3" ShapeID="_x0000_i1034" DrawAspect="Content" ObjectID="_1468075734" r:id="rId27">
            <o:LockedField>false</o:LockedField>
          </o:OLEObject>
        </w:object>
      </w:r>
      <w:r>
        <w:rPr>
          <w:rFonts w:hint="eastAsia" w:cs="Times New Roman"/>
          <w:color w:val="auto"/>
        </w:rPr>
        <w:t>——实际土壤侵蚀量，t/（hm</w:t>
      </w:r>
      <w:r>
        <w:rPr>
          <w:rFonts w:hint="eastAsia" w:cs="Times New Roman"/>
          <w:color w:val="auto"/>
          <w:vertAlign w:val="superscript"/>
        </w:rPr>
        <w:t>2</w:t>
      </w:r>
      <w:r>
        <w:rPr>
          <w:rFonts w:hint="eastAsia" w:cs="Times New Roman"/>
          <w:color w:val="auto"/>
        </w:rPr>
        <w:t>·a）；</w:t>
      </w:r>
    </w:p>
    <w:p>
      <w:pPr>
        <w:ind w:firstLine="1400" w:firstLineChars="500"/>
        <w:rPr>
          <w:rFonts w:cs="Times New Roman"/>
          <w:color w:val="auto"/>
        </w:rPr>
      </w:pPr>
      <w:r>
        <w:rPr>
          <w:rFonts w:hint="eastAsia" w:cs="Times New Roman"/>
          <w:i/>
          <w:iCs/>
          <w:color w:val="auto"/>
        </w:rPr>
        <w:t>R</w:t>
      </w:r>
      <w:r>
        <w:rPr>
          <w:rFonts w:hint="eastAsia" w:cs="Times New Roman"/>
          <w:color w:val="auto"/>
        </w:rPr>
        <w:t>——降雨侵蚀力因子，MJ·mm/（hm</w:t>
      </w:r>
      <w:r>
        <w:rPr>
          <w:rFonts w:hint="eastAsia" w:cs="Times New Roman"/>
          <w:color w:val="auto"/>
          <w:vertAlign w:val="superscript"/>
        </w:rPr>
        <w:t>2</w:t>
      </w:r>
      <w:r>
        <w:rPr>
          <w:rFonts w:hint="eastAsia" w:cs="Times New Roman"/>
          <w:color w:val="auto"/>
        </w:rPr>
        <w:t>·h·a）；</w:t>
      </w:r>
    </w:p>
    <w:p>
      <w:pPr>
        <w:ind w:firstLine="1400" w:firstLineChars="500"/>
        <w:rPr>
          <w:rFonts w:cs="Times New Roman"/>
          <w:color w:val="auto"/>
        </w:rPr>
      </w:pPr>
      <w:r>
        <w:rPr>
          <w:rFonts w:hint="eastAsia" w:cs="Times New Roman"/>
          <w:i/>
          <w:iCs/>
          <w:color w:val="auto"/>
        </w:rPr>
        <w:t>K</w:t>
      </w:r>
      <w:r>
        <w:rPr>
          <w:rFonts w:hint="eastAsia" w:cs="Times New Roman"/>
          <w:color w:val="auto"/>
        </w:rPr>
        <w:t>——土壤可蚀性因子，t·hm</w:t>
      </w:r>
      <w:r>
        <w:rPr>
          <w:rFonts w:hint="eastAsia" w:cs="Times New Roman"/>
          <w:color w:val="auto"/>
          <w:vertAlign w:val="superscript"/>
        </w:rPr>
        <w:t>2</w:t>
      </w:r>
      <w:r>
        <w:rPr>
          <w:rFonts w:hint="eastAsia" w:cs="Times New Roman"/>
          <w:color w:val="auto"/>
        </w:rPr>
        <w:t>·h/（hm</w:t>
      </w:r>
      <w:r>
        <w:rPr>
          <w:rFonts w:hint="eastAsia" w:cs="Times New Roman"/>
          <w:color w:val="auto"/>
          <w:vertAlign w:val="superscript"/>
        </w:rPr>
        <w:t>2</w:t>
      </w:r>
      <w:r>
        <w:rPr>
          <w:rFonts w:hint="eastAsia" w:cs="Times New Roman"/>
          <w:color w:val="auto"/>
        </w:rPr>
        <w:t>·MJ·mm）；</w:t>
      </w:r>
    </w:p>
    <w:p>
      <w:pPr>
        <w:ind w:firstLine="1400" w:firstLineChars="500"/>
        <w:rPr>
          <w:rFonts w:cs="Times New Roman"/>
          <w:color w:val="auto"/>
        </w:rPr>
      </w:pPr>
      <w:r>
        <w:rPr>
          <w:rFonts w:hint="eastAsia" w:cs="Times New Roman"/>
          <w:i/>
          <w:iCs/>
          <w:color w:val="auto"/>
        </w:rPr>
        <w:t>L</w:t>
      </w:r>
      <w:r>
        <w:rPr>
          <w:rFonts w:hint="eastAsia" w:cs="Times New Roman"/>
          <w:color w:val="auto"/>
        </w:rPr>
        <w:t>——坡长因子，量纲一；</w:t>
      </w:r>
    </w:p>
    <w:p>
      <w:pPr>
        <w:ind w:firstLine="1400" w:firstLineChars="500"/>
        <w:rPr>
          <w:rFonts w:cs="Times New Roman"/>
          <w:color w:val="auto"/>
        </w:rPr>
      </w:pPr>
      <w:r>
        <w:rPr>
          <w:rFonts w:hint="eastAsia" w:cs="Times New Roman"/>
          <w:i/>
          <w:iCs/>
          <w:color w:val="auto"/>
        </w:rPr>
        <w:t>S</w:t>
      </w:r>
      <w:r>
        <w:rPr>
          <w:rFonts w:hint="eastAsia" w:cs="Times New Roman"/>
          <w:color w:val="auto"/>
        </w:rPr>
        <w:t>——坡度因子，量纲一；</w:t>
      </w:r>
    </w:p>
    <w:p>
      <w:pPr>
        <w:ind w:firstLine="1400" w:firstLineChars="500"/>
        <w:rPr>
          <w:color w:val="auto"/>
        </w:rPr>
      </w:pPr>
      <w:r>
        <w:rPr>
          <w:rFonts w:hint="eastAsia" w:cs="Times New Roman"/>
          <w:i/>
          <w:iCs/>
          <w:color w:val="auto"/>
        </w:rPr>
        <w:t>C</w:t>
      </w:r>
      <w:r>
        <w:rPr>
          <w:rFonts w:hint="eastAsia" w:cs="Times New Roman"/>
          <w:color w:val="auto"/>
        </w:rPr>
        <w:t>——植被覆盖因子，量纲一；</w:t>
      </w:r>
    </w:p>
    <w:p>
      <w:pPr>
        <w:ind w:firstLine="560"/>
        <w:rPr>
          <w:rFonts w:cs="Times New Roman"/>
          <w:color w:val="auto"/>
        </w:rPr>
      </w:pPr>
      <w:r>
        <w:rPr>
          <w:rFonts w:hint="eastAsia" w:cs="Times New Roman"/>
          <w:color w:val="auto"/>
        </w:rPr>
        <w:t>（1）降雨侵蚀力因子（R）</w:t>
      </w:r>
    </w:p>
    <w:p>
      <w:pPr>
        <w:ind w:firstLine="560"/>
        <w:rPr>
          <w:rFonts w:cs="Times New Roman"/>
          <w:color w:val="auto"/>
        </w:rPr>
      </w:pPr>
      <w:r>
        <w:rPr>
          <w:rFonts w:hint="eastAsia" w:cs="Times New Roman"/>
          <w:color w:val="auto"/>
        </w:rPr>
        <w:t>降雨</w:t>
      </w:r>
      <w:r>
        <w:rPr>
          <w:rFonts w:cs="Times New Roman"/>
          <w:color w:val="auto"/>
        </w:rPr>
        <w:t>是引起土壤侵蚀的直接原因，雨滴的击溅作用和地表径流的冲刷作用是造成土壤侵蚀的主要动力。降雨侵蚀力是表征降雨对土壤侵蚀影响的潜在能力，随降雨量、降雨强度和降雨历时及降雨频率的变化而变化</w:t>
      </w:r>
      <w:r>
        <w:rPr>
          <w:rFonts w:hint="eastAsia" w:cs="Times New Roman"/>
          <w:color w:val="auto"/>
        </w:rPr>
        <w:t>，降雨侵蚀力因子（R）</w:t>
      </w:r>
      <w:r>
        <w:rPr>
          <w:rFonts w:cs="Times New Roman"/>
          <w:color w:val="auto"/>
        </w:rPr>
        <w:t>计算公式如下</w:t>
      </w:r>
      <w:r>
        <w:rPr>
          <w:rFonts w:hint="eastAsia" w:cs="Times New Roman"/>
          <w:color w:val="auto"/>
        </w:rPr>
        <w:t>：</w:t>
      </w:r>
    </w:p>
    <w:p>
      <w:pPr>
        <w:ind w:firstLine="0" w:firstLineChars="0"/>
        <w:jc w:val="center"/>
        <w:rPr>
          <w:rFonts w:cs="Times New Roman"/>
          <w:color w:val="auto"/>
        </w:rPr>
      </w:pPr>
      <w:r>
        <w:rPr>
          <w:rFonts w:hint="eastAsia" w:cs="Times New Roman"/>
          <w:color w:val="auto"/>
        </w:rPr>
        <w:object>
          <v:shape id="_x0000_i1035" o:spt="75" type="#_x0000_t75" style="height:34pt;width:72pt;" o:ole="t" filled="f" o:preferrelative="t" stroked="f" coordsize="21600,21600">
            <v:path/>
            <v:fill on="f" focussize="0,0"/>
            <v:stroke on="f" joinstyle="miter"/>
            <v:imagedata r:id="rId30" o:title=""/>
            <o:lock v:ext="edit" aspectratio="t"/>
            <w10:wrap type="none"/>
            <w10:anchorlock/>
          </v:shape>
          <o:OLEObject Type="Embed" ProgID="Equation.3" ShapeID="_x0000_i1035" DrawAspect="Content" ObjectID="_1468075735" r:id="rId29">
            <o:LockedField>false</o:LockedField>
          </o:OLEObject>
        </w:object>
      </w:r>
    </w:p>
    <w:p>
      <w:pPr>
        <w:ind w:firstLine="0" w:firstLineChars="0"/>
        <w:jc w:val="center"/>
        <w:rPr>
          <w:rFonts w:cs="Times New Roman"/>
          <w:color w:val="auto"/>
        </w:rPr>
      </w:pPr>
      <w:r>
        <w:rPr>
          <w:rFonts w:hint="eastAsia" w:cs="Times New Roman"/>
          <w:color w:val="auto"/>
        </w:rPr>
        <w:object>
          <v:shape id="_x0000_i1036" o:spt="75" type="#_x0000_t75" style="height:37pt;width:143pt;" o:ole="t" filled="f" o:preferrelative="t" stroked="f" coordsize="21600,21600">
            <v:path/>
            <v:fill on="f" focussize="0,0"/>
            <v:stroke on="f" joinstyle="miter"/>
            <v:imagedata r:id="rId32" o:title=""/>
            <o:lock v:ext="edit" aspectratio="t"/>
            <w10:wrap type="none"/>
            <w10:anchorlock/>
          </v:shape>
          <o:OLEObject Type="Embed" ProgID="Equation.3" ShapeID="_x0000_i1036" DrawAspect="Content" ObjectID="_1468075736" r:id="rId31">
            <o:LockedField>false</o:LockedField>
          </o:OLEObject>
        </w:object>
      </w:r>
    </w:p>
    <w:p>
      <w:pPr>
        <w:ind w:firstLine="560"/>
        <w:textAlignment w:val="center"/>
        <w:rPr>
          <w:rFonts w:cs="Times New Roman"/>
          <w:color w:val="auto"/>
        </w:rPr>
      </w:pPr>
      <w:r>
        <w:rPr>
          <w:rFonts w:hint="eastAsia" w:cs="Times New Roman"/>
          <w:color w:val="auto"/>
        </w:rPr>
        <w:t>式中：</w:t>
      </w:r>
      <w:r>
        <w:rPr>
          <w:rFonts w:hint="eastAsia" w:cs="Times New Roman"/>
          <w:color w:val="auto"/>
        </w:rPr>
        <w:object>
          <v:shape id="_x0000_i1037" o:spt="75" type="#_x0000_t75" style="height:17pt;width:15pt;" o:ole="t" filled="f" o:preferrelative="t" stroked="f" coordsize="21600,21600">
            <v:path/>
            <v:fill on="f" focussize="0,0"/>
            <v:stroke on="f" joinstyle="miter"/>
            <v:imagedata r:id="rId34" o:title=""/>
            <o:lock v:ext="edit" aspectratio="t"/>
            <w10:wrap type="none"/>
            <w10:anchorlock/>
          </v:shape>
          <o:OLEObject Type="Embed" ProgID="Equation.3" ShapeID="_x0000_i1037" DrawAspect="Content" ObjectID="_1468075737" r:id="rId33">
            <o:LockedField>false</o:LockedField>
          </o:OLEObject>
        </w:object>
      </w:r>
      <w:r>
        <w:rPr>
          <w:rFonts w:hint="eastAsia" w:cs="Times New Roman"/>
          <w:color w:val="auto"/>
        </w:rPr>
        <w:t>——多年平均年降雨侵蚀力，MJ·mm/（hm</w:t>
      </w:r>
      <w:r>
        <w:rPr>
          <w:rFonts w:hint="eastAsia" w:cs="Times New Roman"/>
          <w:color w:val="auto"/>
          <w:vertAlign w:val="superscript"/>
        </w:rPr>
        <w:t>2</w:t>
      </w:r>
      <w:r>
        <w:rPr>
          <w:rFonts w:hint="eastAsia" w:cs="Times New Roman"/>
          <w:color w:val="auto"/>
        </w:rPr>
        <w:t>·h·a）；</w:t>
      </w:r>
    </w:p>
    <w:p>
      <w:pPr>
        <w:ind w:firstLine="1400" w:firstLineChars="500"/>
        <w:textAlignment w:val="center"/>
        <w:rPr>
          <w:rFonts w:cs="Times New Roman"/>
          <w:color w:val="auto"/>
        </w:rPr>
      </w:pPr>
      <w:r>
        <w:rPr>
          <w:rFonts w:hint="eastAsia" w:cs="Times New Roman"/>
          <w:color w:val="auto"/>
        </w:rPr>
        <w:object>
          <v:shape id="_x0000_i1038" o:spt="75" type="#_x0000_t75" style="height:22pt;width:28pt;" o:ole="t" filled="f" o:preferrelative="t" stroked="f" coordsize="21600,21600">
            <v:path/>
            <v:fill on="f" focussize="0,0"/>
            <v:stroke on="f" joinstyle="miter"/>
            <v:imagedata r:id="rId36" o:title=""/>
            <o:lock v:ext="edit" aspectratio="t"/>
            <w10:wrap type="none"/>
            <w10:anchorlock/>
          </v:shape>
          <o:OLEObject Type="Embed" ProgID="Equation.3" ShapeID="_x0000_i1038" DrawAspect="Content" ObjectID="_1468075738" r:id="rId35">
            <o:LockedField>false</o:LockedField>
          </o:OLEObject>
        </w:object>
      </w:r>
      <w:r>
        <w:rPr>
          <w:rFonts w:hint="eastAsia" w:cs="Times New Roman"/>
          <w:color w:val="auto"/>
        </w:rPr>
        <w:t>——第k个半月的降雨侵蚀力，MJ·mm/（hm</w:t>
      </w:r>
      <w:r>
        <w:rPr>
          <w:rFonts w:hint="eastAsia" w:cs="Times New Roman"/>
          <w:color w:val="auto"/>
          <w:vertAlign w:val="superscript"/>
        </w:rPr>
        <w:t>2</w:t>
      </w:r>
      <w:r>
        <w:rPr>
          <w:rFonts w:hint="eastAsia" w:cs="Times New Roman"/>
          <w:color w:val="auto"/>
        </w:rPr>
        <w:t>·h·a）；</w:t>
      </w:r>
    </w:p>
    <w:p>
      <w:pPr>
        <w:ind w:firstLine="1400" w:firstLineChars="500"/>
        <w:textAlignment w:val="center"/>
        <w:rPr>
          <w:rFonts w:cs="Times New Roman"/>
          <w:color w:val="auto"/>
        </w:rPr>
      </w:pPr>
      <w:r>
        <w:rPr>
          <w:rFonts w:hint="eastAsia" w:cs="Times New Roman"/>
          <w:color w:val="auto"/>
        </w:rPr>
        <w:t>k——一年的24个半月，即k=1,2,...,24；</w:t>
      </w:r>
    </w:p>
    <w:p>
      <w:pPr>
        <w:ind w:firstLine="1400" w:firstLineChars="500"/>
        <w:textAlignment w:val="center"/>
        <w:rPr>
          <w:rFonts w:cs="Times New Roman"/>
          <w:color w:val="auto"/>
        </w:rPr>
      </w:pPr>
      <w:r>
        <w:rPr>
          <w:rFonts w:hint="eastAsia" w:cs="Times New Roman"/>
          <w:color w:val="auto"/>
        </w:rPr>
        <w:t>i——所用降雨资料的年份，即i=1,2,...,n；</w:t>
      </w:r>
    </w:p>
    <w:p>
      <w:pPr>
        <w:ind w:firstLine="1400" w:firstLineChars="500"/>
        <w:textAlignment w:val="center"/>
        <w:rPr>
          <w:rFonts w:cs="Times New Roman"/>
          <w:color w:val="auto"/>
        </w:rPr>
      </w:pPr>
      <w:r>
        <w:rPr>
          <w:rFonts w:hint="eastAsia" w:cs="Times New Roman"/>
          <w:color w:val="auto"/>
        </w:rPr>
        <w:t>j——第i年第k个半月侵蚀性降雨日的天数，即j=1,2,...,m；</w:t>
      </w:r>
    </w:p>
    <w:p>
      <w:pPr>
        <w:ind w:firstLine="1400" w:firstLineChars="500"/>
        <w:textAlignment w:val="center"/>
        <w:rPr>
          <w:rFonts w:cs="Times New Roman"/>
          <w:color w:val="auto"/>
        </w:rPr>
      </w:pPr>
      <w:r>
        <w:rPr>
          <w:rFonts w:cs="Times New Roman"/>
          <w:color w:val="auto"/>
        </w:rPr>
        <w:object>
          <v:shape id="_x0000_i1039" o:spt="75" type="#_x0000_t75" style="height:22pt;width:24pt;" o:ole="t" filled="f" o:preferrelative="t" stroked="f" coordsize="21600,21600">
            <v:path/>
            <v:fill on="f" focussize="0,0"/>
            <v:stroke on="f" joinstyle="miter"/>
            <v:imagedata r:id="rId38" o:title=""/>
            <o:lock v:ext="edit" aspectratio="t"/>
            <w10:wrap type="none"/>
            <w10:anchorlock/>
          </v:shape>
          <o:OLEObject Type="Embed" ProgID="Equation.3" ShapeID="_x0000_i1039" DrawAspect="Content" ObjectID="_1468075739" r:id="rId37">
            <o:LockedField>false</o:LockedField>
          </o:OLEObject>
        </w:object>
      </w:r>
      <w:r>
        <w:rPr>
          <w:rFonts w:hint="eastAsia" w:cs="Times New Roman"/>
          <w:color w:val="auto"/>
        </w:rPr>
        <w:t>——第i年第k个半月第j个侵蚀性日降雨量，mm；</w:t>
      </w:r>
    </w:p>
    <w:p>
      <w:pPr>
        <w:ind w:firstLine="1400" w:firstLineChars="500"/>
        <w:textAlignment w:val="center"/>
        <w:rPr>
          <w:rFonts w:cs="Times New Roman"/>
          <w:color w:val="auto"/>
        </w:rPr>
      </w:pPr>
      <w:r>
        <w:rPr>
          <w:rFonts w:hint="eastAsia" w:cs="Times New Roman"/>
          <w:color w:val="auto"/>
        </w:rPr>
        <w:t>α为参数，暖季α=0.3937，冷季α=0.3101。</w:t>
      </w:r>
    </w:p>
    <w:p>
      <w:pPr>
        <w:tabs>
          <w:tab w:val="left" w:pos="4760"/>
        </w:tabs>
        <w:ind w:firstLine="560"/>
        <w:rPr>
          <w:rFonts w:cs="Times New Roman"/>
          <w:color w:val="auto"/>
        </w:rPr>
      </w:pPr>
      <w:r>
        <w:rPr>
          <w:rFonts w:hint="eastAsia" w:cs="Times New Roman"/>
          <w:color w:val="auto"/>
        </w:rPr>
        <w:t>利用绥棱县降水数据，通过Arcgis栅格计算器计算区域内降雨侵蚀力因子，根据绥棱县降雨量分布图可以看出，降雨主要分布在松花江分局绥棱林业局和通北林业局，降雨量在795.7mm/a~871.7mm/a，因此降雨侵蚀力较其他区域大。</w:t>
      </w:r>
    </w:p>
    <w:p>
      <w:pPr>
        <w:ind w:firstLine="560"/>
        <w:rPr>
          <w:rFonts w:cs="Times New Roman"/>
          <w:color w:val="auto"/>
        </w:rPr>
      </w:pPr>
      <w:r>
        <w:rPr>
          <w:rFonts w:hint="eastAsia" w:cs="Times New Roman"/>
          <w:color w:val="auto"/>
        </w:rPr>
        <w:t>（2）</w:t>
      </w:r>
      <w:r>
        <w:rPr>
          <w:rFonts w:cs="Times New Roman"/>
          <w:color w:val="auto"/>
        </w:rPr>
        <w:t>土壤可蚀性因子（K）</w:t>
      </w:r>
    </w:p>
    <w:p>
      <w:pPr>
        <w:ind w:firstLine="560"/>
        <w:rPr>
          <w:rFonts w:cs="Times New Roman"/>
          <w:color w:val="auto"/>
        </w:rPr>
      </w:pPr>
      <w:r>
        <w:rPr>
          <w:rFonts w:cs="Times New Roman"/>
          <w:color w:val="auto"/>
        </w:rPr>
        <w:t>土壤可蚀性因子（K）反映了土壤颗粒被水力分离和搬运的难易程度，是评价土壤对侵蚀敏感程度的重要指标，主要与土壤质地、有机质含量、土体结构、渗透性等土壤理化性质有关。采用如下公式进行计算</w:t>
      </w:r>
      <w:r>
        <w:rPr>
          <w:rFonts w:hint="eastAsia" w:cs="Times New Roman"/>
          <w:color w:val="auto"/>
        </w:rPr>
        <w:t>：</w:t>
      </w:r>
    </w:p>
    <w:p>
      <w:pPr>
        <w:ind w:firstLine="0" w:firstLineChars="0"/>
        <w:jc w:val="center"/>
        <w:rPr>
          <w:rFonts w:cs="Times New Roman"/>
          <w:color w:val="auto"/>
        </w:rPr>
      </w:pPr>
      <w:r>
        <w:rPr>
          <w:rFonts w:hint="eastAsia" w:cs="Times New Roman"/>
          <w:color w:val="auto"/>
        </w:rPr>
        <w:object>
          <v:shape id="_x0000_i1040" o:spt="75" type="#_x0000_t75" style="height:67pt;width:418pt;" o:ole="t" filled="f" o:preferrelative="t" stroked="f" coordsize="21600,21600">
            <v:path/>
            <v:fill on="f" focussize="0,0"/>
            <v:stroke on="f" joinstyle="miter"/>
            <v:imagedata r:id="rId40" o:title=""/>
            <o:lock v:ext="edit" aspectratio="t"/>
            <w10:wrap type="none"/>
            <w10:anchorlock/>
          </v:shape>
          <o:OLEObject Type="Embed" ProgID="Equation.3" ShapeID="_x0000_i1040" DrawAspect="Content" ObjectID="_1468075740" r:id="rId39">
            <o:LockedField>false</o:LockedField>
          </o:OLEObject>
        </w:object>
      </w:r>
      <w:r>
        <w:rPr>
          <w:rFonts w:hint="eastAsia" w:cs="Times New Roman"/>
          <w:color w:val="auto"/>
        </w:rPr>
        <w:object>
          <v:shape id="_x0000_i1041" o:spt="75" type="#_x0000_t75" style="height:20pt;width:240pt;" o:ole="t" filled="f" o:preferrelative="t" stroked="f" coordsize="21600,21600">
            <v:path/>
            <v:fill on="f" focussize="0,0"/>
            <v:stroke on="f" joinstyle="miter"/>
            <v:imagedata r:id="rId42" o:title=""/>
            <o:lock v:ext="edit" aspectratio="t"/>
            <w10:wrap type="none"/>
            <w10:anchorlock/>
          </v:shape>
          <o:OLEObject Type="Embed" ProgID="Equation.3" ShapeID="_x0000_i1041" DrawAspect="Content" ObjectID="_1468075741" r:id="rId41">
            <o:LockedField>false</o:LockedField>
          </o:OLEObject>
        </w:object>
      </w:r>
    </w:p>
    <w:p>
      <w:pPr>
        <w:ind w:left="1400" w:leftChars="200" w:hanging="840" w:hangingChars="300"/>
        <w:textAlignment w:val="center"/>
        <w:rPr>
          <w:rFonts w:cs="Times New Roman"/>
          <w:color w:val="auto"/>
        </w:rPr>
      </w:pPr>
      <w:r>
        <w:rPr>
          <w:rFonts w:hint="eastAsia" w:cs="Times New Roman"/>
          <w:color w:val="auto"/>
        </w:rPr>
        <w:t xml:space="preserve">式中： </w:t>
      </w:r>
      <w:r>
        <w:rPr>
          <w:rFonts w:hint="eastAsia" w:cs="Times New Roman"/>
          <w:color w:val="auto"/>
        </w:rPr>
        <w:object>
          <v:shape id="_x0000_i1042" o:spt="75" type="#_x0000_t75" style="height:20pt;width:29pt;" o:ole="t" filled="f" o:preferrelative="t" stroked="f" coordsize="21600,21600">
            <v:path/>
            <v:fill on="f" focussize="0,0"/>
            <v:stroke on="f" joinstyle="miter"/>
            <v:imagedata r:id="rId44" o:title=""/>
            <o:lock v:ext="edit" aspectratio="t"/>
            <w10:wrap type="none"/>
            <w10:anchorlock/>
          </v:shape>
          <o:OLEObject Type="Embed" ProgID="Equation.3" ShapeID="_x0000_i1042" DrawAspect="Content" ObjectID="_1468075742" r:id="rId43">
            <o:LockedField>false</o:LockedField>
          </o:OLEObject>
        </w:object>
      </w:r>
      <w:r>
        <w:rPr>
          <w:rFonts w:hint="eastAsia" w:cs="Times New Roman"/>
          <w:color w:val="auto"/>
        </w:rPr>
        <w:t>——采用侵蚀-生产力评价模型计算的土壤可蚀性因子，t·hm</w:t>
      </w:r>
      <w:r>
        <w:rPr>
          <w:rFonts w:hint="eastAsia" w:cs="Times New Roman"/>
          <w:color w:val="auto"/>
          <w:vertAlign w:val="superscript"/>
        </w:rPr>
        <w:t>2</w:t>
      </w:r>
      <w:r>
        <w:rPr>
          <w:rFonts w:hint="eastAsia" w:cs="Times New Roman"/>
          <w:color w:val="auto"/>
        </w:rPr>
        <w:t>·h/（hm</w:t>
      </w:r>
      <w:r>
        <w:rPr>
          <w:rFonts w:hint="eastAsia" w:cs="Times New Roman"/>
          <w:color w:val="auto"/>
          <w:vertAlign w:val="superscript"/>
        </w:rPr>
        <w:t>2</w:t>
      </w:r>
      <w:r>
        <w:rPr>
          <w:rFonts w:hint="eastAsia" w:cs="Times New Roman"/>
          <w:color w:val="auto"/>
        </w:rPr>
        <w:t>·MJ·mm）；</w:t>
      </w:r>
    </w:p>
    <w:p>
      <w:pPr>
        <w:ind w:firstLine="1400" w:firstLineChars="500"/>
        <w:rPr>
          <w:rFonts w:cs="Times New Roman"/>
          <w:color w:val="auto"/>
        </w:rPr>
      </w:pPr>
      <w:r>
        <w:rPr>
          <w:rFonts w:hint="eastAsia" w:cs="Times New Roman"/>
          <w:i/>
          <w:iCs/>
          <w:color w:val="auto"/>
        </w:rPr>
        <w:t>m</w:t>
      </w:r>
      <w:r>
        <w:rPr>
          <w:rFonts w:hint="eastAsia" w:cs="Times New Roman"/>
          <w:i/>
          <w:iCs/>
          <w:color w:val="auto"/>
          <w:vertAlign w:val="subscript"/>
        </w:rPr>
        <w:t>s</w:t>
      </w:r>
      <w:r>
        <w:rPr>
          <w:rFonts w:hint="eastAsia" w:cs="Times New Roman"/>
          <w:color w:val="auto"/>
        </w:rPr>
        <w:t>——砂粒（0.05~2mm）百分含量，%；</w:t>
      </w:r>
    </w:p>
    <w:p>
      <w:pPr>
        <w:ind w:firstLine="1400" w:firstLineChars="500"/>
        <w:rPr>
          <w:rFonts w:cs="Times New Roman"/>
          <w:color w:val="auto"/>
        </w:rPr>
      </w:pPr>
      <w:r>
        <w:rPr>
          <w:rFonts w:hint="eastAsia" w:cs="Times New Roman"/>
          <w:i/>
          <w:iCs/>
          <w:color w:val="auto"/>
        </w:rPr>
        <w:t>m</w:t>
      </w:r>
      <w:r>
        <w:rPr>
          <w:rFonts w:hint="eastAsia" w:cs="Times New Roman"/>
          <w:i/>
          <w:iCs/>
          <w:color w:val="auto"/>
          <w:vertAlign w:val="subscript"/>
        </w:rPr>
        <w:t>silt</w:t>
      </w:r>
      <w:r>
        <w:rPr>
          <w:rFonts w:hint="eastAsia" w:cs="Times New Roman"/>
          <w:color w:val="auto"/>
        </w:rPr>
        <w:t>——粉粒（0.002~0.05mm）百分含量，%；</w:t>
      </w:r>
    </w:p>
    <w:p>
      <w:pPr>
        <w:ind w:firstLine="1400" w:firstLineChars="500"/>
        <w:rPr>
          <w:rFonts w:cs="Times New Roman"/>
          <w:color w:val="auto"/>
        </w:rPr>
      </w:pPr>
      <w:r>
        <w:rPr>
          <w:rFonts w:hint="eastAsia" w:cs="Times New Roman"/>
          <w:i/>
          <w:iCs/>
          <w:color w:val="auto"/>
        </w:rPr>
        <w:t>m</w:t>
      </w:r>
      <w:r>
        <w:rPr>
          <w:rFonts w:hint="eastAsia" w:cs="Times New Roman"/>
          <w:i/>
          <w:iCs/>
          <w:color w:val="auto"/>
          <w:vertAlign w:val="subscript"/>
        </w:rPr>
        <w:t>c</w:t>
      </w:r>
      <w:r>
        <w:rPr>
          <w:rFonts w:hint="eastAsia" w:cs="Times New Roman"/>
          <w:color w:val="auto"/>
        </w:rPr>
        <w:t>——黏粒（＜0.002~mm）百分含量，%；</w:t>
      </w:r>
    </w:p>
    <w:p>
      <w:pPr>
        <w:ind w:firstLine="1400" w:firstLineChars="500"/>
        <w:rPr>
          <w:rFonts w:cs="Times New Roman"/>
          <w:color w:val="auto"/>
        </w:rPr>
      </w:pPr>
      <w:r>
        <w:rPr>
          <w:rFonts w:hint="eastAsia" w:cs="Times New Roman"/>
          <w:color w:val="auto"/>
        </w:rPr>
        <w:t>orgC——有机碳的百分含量，%；</w:t>
      </w:r>
    </w:p>
    <w:p>
      <w:pPr>
        <w:ind w:firstLine="1400" w:firstLineChars="500"/>
        <w:rPr>
          <w:rFonts w:cs="Times New Roman"/>
          <w:color w:val="auto"/>
        </w:rPr>
      </w:pPr>
      <w:r>
        <w:rPr>
          <w:rFonts w:hint="eastAsia" w:cs="Times New Roman"/>
          <w:i/>
          <w:iCs/>
          <w:color w:val="auto"/>
        </w:rPr>
        <w:t>K</w:t>
      </w:r>
      <w:r>
        <w:rPr>
          <w:rFonts w:hint="eastAsia" w:cs="Times New Roman"/>
          <w:color w:val="auto"/>
        </w:rPr>
        <w:t>——土壤可蚀性的因子，t·hm</w:t>
      </w:r>
      <w:r>
        <w:rPr>
          <w:rFonts w:hint="eastAsia" w:cs="Times New Roman"/>
          <w:color w:val="auto"/>
          <w:vertAlign w:val="superscript"/>
        </w:rPr>
        <w:t>2</w:t>
      </w:r>
      <w:r>
        <w:rPr>
          <w:rFonts w:hint="eastAsia" w:cs="Times New Roman"/>
          <w:color w:val="auto"/>
        </w:rPr>
        <w:t>·h/（hm</w:t>
      </w:r>
      <w:r>
        <w:rPr>
          <w:rFonts w:hint="eastAsia" w:cs="Times New Roman"/>
          <w:color w:val="auto"/>
          <w:vertAlign w:val="superscript"/>
        </w:rPr>
        <w:t>2</w:t>
      </w:r>
      <w:r>
        <w:rPr>
          <w:rFonts w:hint="eastAsia" w:cs="Times New Roman"/>
          <w:color w:val="auto"/>
        </w:rPr>
        <w:t>·MJ·mm）；</w:t>
      </w:r>
    </w:p>
    <w:p>
      <w:pPr>
        <w:ind w:firstLine="560"/>
        <w:rPr>
          <w:rFonts w:cs="Times New Roman"/>
          <w:color w:val="auto"/>
        </w:rPr>
      </w:pPr>
      <w:r>
        <w:rPr>
          <w:rFonts w:hint="eastAsia" w:cs="Times New Roman"/>
          <w:color w:val="auto"/>
        </w:rPr>
        <w:t>将绥棱县砂粒、粉粒、黏粒和有机碳百分含量栅格数据导入Arcgis中，通过栅格计算器计算绥棱县土壤可蚀性因子。根据计算结果，松花江分局绥棱林业局、通北林业局和沾河林业局、</w:t>
      </w:r>
      <w:r>
        <w:rPr>
          <w:rFonts w:eastAsia="仿宋_GB2312" w:cs="Times New Roman"/>
          <w:color w:val="auto"/>
        </w:rPr>
        <w:t>黑龙江大青观森林公园、黑龙江双岔河湿地自然保护区、黑龙江绥棱努敏河自然保护区、绥棱县四海店林木自然保护区</w:t>
      </w:r>
      <w:r>
        <w:rPr>
          <w:rFonts w:hint="eastAsia" w:eastAsia="仿宋_GB2312" w:cs="Times New Roman"/>
          <w:color w:val="auto"/>
        </w:rPr>
        <w:t>组成的小兴安岭生态屏障林木分布广泛，不易被水利分离和搬运，土壤可蚀性因子较大。</w:t>
      </w:r>
    </w:p>
    <w:p>
      <w:pPr>
        <w:ind w:firstLine="560"/>
        <w:rPr>
          <w:rFonts w:cs="Times New Roman"/>
          <w:color w:val="auto"/>
        </w:rPr>
      </w:pPr>
      <w:r>
        <w:rPr>
          <w:rFonts w:hint="eastAsia" w:cs="Times New Roman"/>
          <w:color w:val="auto"/>
        </w:rPr>
        <w:t>（3）坡长和坡度因子（L、S）</w:t>
      </w:r>
    </w:p>
    <w:p>
      <w:pPr>
        <w:ind w:firstLine="560"/>
        <w:rPr>
          <w:rFonts w:cs="Times New Roman"/>
          <w:color w:val="auto"/>
        </w:rPr>
      </w:pPr>
      <w:r>
        <w:rPr>
          <w:rFonts w:hint="eastAsia" w:cs="Times New Roman"/>
          <w:color w:val="auto"/>
        </w:rPr>
        <w:t>坡长和坡度因子（L、S）反映了坡长、坡度等对土壤侵蚀的影响，按照如下</w:t>
      </w:r>
      <w:r>
        <w:rPr>
          <w:rFonts w:hint="eastAsia" w:cs="Times New Roman"/>
          <w:color w:val="auto"/>
          <w:lang w:eastAsia="zh-CN"/>
        </w:rPr>
        <w:t>公式</w:t>
      </w:r>
      <w:r>
        <w:rPr>
          <w:rFonts w:hint="eastAsia" w:cs="Times New Roman"/>
          <w:color w:val="auto"/>
        </w:rPr>
        <w:t>计算：</w:t>
      </w:r>
    </w:p>
    <w:p>
      <w:pPr>
        <w:ind w:firstLine="0" w:firstLineChars="0"/>
        <w:jc w:val="center"/>
        <w:rPr>
          <w:rFonts w:cs="Times New Roman"/>
          <w:color w:val="auto"/>
        </w:rPr>
      </w:pPr>
      <w:r>
        <w:rPr>
          <w:rFonts w:cs="Times New Roman"/>
          <w:color w:val="auto"/>
        </w:rPr>
        <w:object>
          <v:shape id="_x0000_i1043" o:spt="75" type="#_x0000_t75" style="height:37pt;width:78pt;" o:ole="t" filled="f" o:preferrelative="t" stroked="f" coordsize="21600,21600">
            <v:path/>
            <v:fill on="f" focussize="0,0"/>
            <v:stroke on="f" joinstyle="miter"/>
            <v:imagedata r:id="rId46" o:title=""/>
            <o:lock v:ext="edit" aspectratio="t"/>
            <w10:wrap type="none"/>
            <w10:anchorlock/>
          </v:shape>
          <o:OLEObject Type="Embed" ProgID="Equation.3" ShapeID="_x0000_i1043" DrawAspect="Content" ObjectID="_1468075743" r:id="rId45">
            <o:LockedField>false</o:LockedField>
          </o:OLEObject>
        </w:object>
      </w:r>
    </w:p>
    <w:p>
      <w:pPr>
        <w:ind w:firstLine="0" w:firstLineChars="0"/>
        <w:jc w:val="center"/>
        <w:rPr>
          <w:rFonts w:cs="Times New Roman"/>
          <w:color w:val="auto"/>
        </w:rPr>
      </w:pPr>
      <w:r>
        <w:rPr>
          <w:rFonts w:cs="Times New Roman"/>
          <w:color w:val="auto"/>
        </w:rPr>
        <w:object>
          <v:shape id="_x0000_i1044" o:spt="75" type="#_x0000_t75" style="height:19pt;width:85pt;" o:ole="t" filled="f" o:preferrelative="t" stroked="f" coordsize="21600,21600">
            <v:path/>
            <v:fill on="f" focussize="0,0"/>
            <v:stroke on="f" joinstyle="miter"/>
            <v:imagedata r:id="rId48" o:title=""/>
            <o:lock v:ext="edit" aspectratio="t"/>
            <w10:wrap type="none"/>
            <w10:anchorlock/>
          </v:shape>
          <o:OLEObject Type="Embed" ProgID="Equation.3" ShapeID="_x0000_i1044" DrawAspect="Content" ObjectID="_1468075744" r:id="rId47">
            <o:LockedField>false</o:LockedField>
          </o:OLEObject>
        </w:object>
      </w:r>
    </w:p>
    <w:p>
      <w:pPr>
        <w:ind w:firstLine="0" w:firstLineChars="0"/>
        <w:jc w:val="center"/>
        <w:rPr>
          <w:rFonts w:cs="Times New Roman"/>
          <w:color w:val="auto"/>
        </w:rPr>
      </w:pPr>
      <w:r>
        <w:rPr>
          <w:rFonts w:cs="Times New Roman"/>
          <w:color w:val="auto"/>
        </w:rPr>
        <w:object>
          <v:shape id="_x0000_i1045" o:spt="75" type="#_x0000_t75" style="height:20pt;width:242pt;" o:ole="t" filled="f" o:preferrelative="t" stroked="f" coordsize="21600,21600">
            <v:path/>
            <v:fill on="f" focussize="0,0"/>
            <v:stroke on="f" joinstyle="miter"/>
            <v:imagedata r:id="rId50" o:title=""/>
            <o:lock v:ext="edit" aspectratio="t"/>
            <w10:wrap type="none"/>
            <w10:anchorlock/>
          </v:shape>
          <o:OLEObject Type="Embed" ProgID="Equation.3" ShapeID="_x0000_i1045" DrawAspect="Content" ObjectID="_1468075745" r:id="rId49">
            <o:LockedField>false</o:LockedField>
          </o:OLEObject>
        </w:object>
      </w:r>
    </w:p>
    <w:p>
      <w:pPr>
        <w:ind w:firstLine="0" w:firstLineChars="0"/>
        <w:jc w:val="center"/>
        <w:rPr>
          <w:rFonts w:cs="Times New Roman"/>
          <w:color w:val="auto"/>
        </w:rPr>
      </w:pPr>
      <w:r>
        <w:rPr>
          <w:rFonts w:cs="Times New Roman"/>
          <w:color w:val="auto"/>
        </w:rPr>
        <w:object>
          <v:shape id="_x0000_i1046" o:spt="75" type="#_x0000_t75" style="height:89pt;width:268pt;" o:ole="t" filled="f" o:preferrelative="t" stroked="f" coordsize="21600,21600">
            <v:path/>
            <v:fill on="f" focussize="0,0"/>
            <v:stroke on="f" joinstyle="miter"/>
            <v:imagedata r:id="rId52" o:title=""/>
            <o:lock v:ext="edit" aspectratio="t"/>
            <w10:wrap type="none"/>
            <w10:anchorlock/>
          </v:shape>
          <o:OLEObject Type="Embed" ProgID="Equation.3" ShapeID="_x0000_i1046" DrawAspect="Content" ObjectID="_1468075746" r:id="rId51">
            <o:LockedField>false</o:LockedField>
          </o:OLEObject>
        </w:object>
      </w:r>
    </w:p>
    <w:p>
      <w:pPr>
        <w:ind w:firstLine="560"/>
        <w:rPr>
          <w:rFonts w:cs="Times New Roman"/>
          <w:color w:val="auto"/>
        </w:rPr>
      </w:pPr>
      <w:r>
        <w:rPr>
          <w:rFonts w:hint="eastAsia" w:cs="Times New Roman"/>
          <w:color w:val="auto"/>
        </w:rPr>
        <w:t>式中：</w:t>
      </w:r>
      <w:r>
        <w:rPr>
          <w:rFonts w:cs="Times New Roman"/>
          <w:i/>
          <w:iCs/>
          <w:color w:val="auto"/>
        </w:rPr>
        <w:t>L</w:t>
      </w:r>
      <w:r>
        <w:rPr>
          <w:rFonts w:cs="Times New Roman"/>
          <w:color w:val="auto"/>
        </w:rPr>
        <w:t xml:space="preserve"> </w:t>
      </w:r>
      <w:r>
        <w:rPr>
          <w:rFonts w:hint="eastAsia" w:cs="Times New Roman"/>
          <w:color w:val="auto"/>
        </w:rPr>
        <w:t xml:space="preserve">——坡长因子； </w:t>
      </w:r>
    </w:p>
    <w:p>
      <w:pPr>
        <w:ind w:firstLine="1400" w:firstLineChars="500"/>
        <w:rPr>
          <w:rFonts w:cs="Times New Roman"/>
          <w:color w:val="auto"/>
        </w:rPr>
      </w:pPr>
      <w:r>
        <w:rPr>
          <w:rFonts w:cs="Times New Roman"/>
          <w:i/>
          <w:iCs/>
          <w:color w:val="auto"/>
        </w:rPr>
        <w:t>S</w:t>
      </w:r>
      <w:r>
        <w:rPr>
          <w:rFonts w:cs="Times New Roman"/>
          <w:color w:val="auto"/>
        </w:rPr>
        <w:t xml:space="preserve"> </w:t>
      </w:r>
      <w:r>
        <w:rPr>
          <w:rFonts w:hint="eastAsia" w:cs="Times New Roman"/>
          <w:color w:val="auto"/>
        </w:rPr>
        <w:t xml:space="preserve">——坡度因子； </w:t>
      </w:r>
    </w:p>
    <w:p>
      <w:pPr>
        <w:ind w:firstLine="1400" w:firstLineChars="500"/>
        <w:rPr>
          <w:rFonts w:cs="Times New Roman"/>
          <w:color w:val="auto"/>
        </w:rPr>
      </w:pPr>
      <w:r>
        <w:rPr>
          <w:rFonts w:cs="Times New Roman"/>
          <w:i/>
          <w:iCs/>
          <w:color w:val="auto"/>
        </w:rPr>
        <w:t>m</w:t>
      </w:r>
      <w:r>
        <w:rPr>
          <w:rFonts w:cs="Times New Roman"/>
          <w:color w:val="auto"/>
        </w:rPr>
        <w:t xml:space="preserve"> </w:t>
      </w:r>
      <w:r>
        <w:rPr>
          <w:rFonts w:hint="eastAsia" w:cs="Times New Roman"/>
          <w:color w:val="auto"/>
        </w:rPr>
        <w:t xml:space="preserve">——坡长指数； </w:t>
      </w:r>
    </w:p>
    <w:p>
      <w:pPr>
        <w:ind w:firstLine="1400" w:firstLineChars="500"/>
        <w:rPr>
          <w:rFonts w:cs="Times New Roman"/>
          <w:color w:val="auto"/>
        </w:rPr>
      </w:pPr>
      <w:r>
        <w:rPr>
          <w:rFonts w:cs="Times New Roman"/>
          <w:i/>
          <w:iCs/>
          <w:color w:val="auto"/>
        </w:rPr>
        <w:t>θ</w:t>
      </w:r>
      <w:r>
        <w:rPr>
          <w:rFonts w:cs="Times New Roman"/>
          <w:color w:val="auto"/>
        </w:rPr>
        <w:t xml:space="preserve"> </w:t>
      </w:r>
      <w:r>
        <w:rPr>
          <w:rFonts w:hint="eastAsia" w:cs="Times New Roman"/>
          <w:color w:val="auto"/>
        </w:rPr>
        <w:t>——坡度，（</w:t>
      </w:r>
      <w:r>
        <w:rPr>
          <w:rFonts w:cs="Times New Roman"/>
          <w:color w:val="auto"/>
        </w:rPr>
        <w:t>°</w:t>
      </w:r>
      <w:r>
        <w:rPr>
          <w:rFonts w:hint="eastAsia" w:cs="Times New Roman"/>
          <w:color w:val="auto"/>
        </w:rPr>
        <w:t xml:space="preserve">）； </w:t>
      </w:r>
    </w:p>
    <w:p>
      <w:pPr>
        <w:ind w:firstLine="560"/>
        <w:rPr>
          <w:rFonts w:cs="Times New Roman"/>
          <w:color w:val="auto"/>
        </w:rPr>
      </w:pPr>
      <w:r>
        <w:rPr>
          <w:rFonts w:hint="eastAsia" w:cs="Times New Roman"/>
          <w:color w:val="auto"/>
        </w:rPr>
        <w:t xml:space="preserve">    </w:t>
      </w:r>
      <w:r>
        <w:rPr>
          <w:rFonts w:hint="eastAsia" w:cs="Times New Roman"/>
          <w:color w:val="auto"/>
          <w:position w:val="-6"/>
        </w:rPr>
        <w:object>
          <v:shape id="_x0000_i1047" o:spt="75" type="#_x0000_t75" style="height:16pt;width:13pt;" o:ole="t" filled="f" o:preferrelative="t" stroked="f" coordsize="21600,21600">
            <v:path/>
            <v:fill on="f" focussize="0,0"/>
            <v:stroke on="f" joinstyle="miter"/>
            <v:imagedata r:id="rId54" o:title=""/>
            <o:lock v:ext="edit" aspectratio="t"/>
            <w10:wrap type="none"/>
            <w10:anchorlock/>
          </v:shape>
          <o:OLEObject Type="Embed" ProgID="Equation.3" ShapeID="_x0000_i1047" DrawAspect="Content" ObjectID="_1468075747" r:id="rId53">
            <o:LockedField>false</o:LockedField>
          </o:OLEObject>
        </w:object>
      </w:r>
      <w:r>
        <w:rPr>
          <w:rFonts w:hint="eastAsia" w:cs="Times New Roman"/>
          <w:color w:val="auto"/>
        </w:rPr>
        <w:t>——坡长，</w:t>
      </w:r>
      <w:r>
        <w:rPr>
          <w:rFonts w:cs="Times New Roman"/>
          <w:color w:val="auto"/>
        </w:rPr>
        <w:t>m</w:t>
      </w:r>
      <w:r>
        <w:rPr>
          <w:rFonts w:hint="eastAsia" w:cs="Times New Roman"/>
          <w:color w:val="auto"/>
        </w:rPr>
        <w:t xml:space="preserve">。 </w:t>
      </w:r>
    </w:p>
    <w:p>
      <w:pPr>
        <w:ind w:firstLine="560"/>
        <w:rPr>
          <w:rFonts w:cs="Times New Roman"/>
          <w:color w:val="auto"/>
        </w:rPr>
      </w:pPr>
      <w:r>
        <w:rPr>
          <w:rFonts w:hint="eastAsia" w:cs="Times New Roman"/>
          <w:color w:val="auto"/>
        </w:rPr>
        <w:t>坡度是</w:t>
      </w:r>
      <w:r>
        <w:rPr>
          <w:rFonts w:cs="Times New Roman"/>
          <w:color w:val="auto"/>
        </w:rPr>
        <w:t>地表上某点的坡度是地形曲面函数在东西、南北方向上偏导数函数</w:t>
      </w:r>
      <w:r>
        <w:rPr>
          <w:rFonts w:hint="eastAsia" w:cs="Times New Roman"/>
          <w:color w:val="auto"/>
        </w:rPr>
        <w:t>，坡长通常是指地面上一点沿水流方向到其流向起点间的最大地面距离在水平面上的投影长度。规划基于DEM数据，利用Arcgis中表面分析坡度工具计算得出坡度，再根据栅格计算器计算出绥棱县坡度因子。利用Arcgis中水温分析工序计算得出坡长，再根据栅格计算机计算出绥棱县坡长因子。</w:t>
      </w:r>
    </w:p>
    <w:p>
      <w:pPr>
        <w:ind w:firstLine="560"/>
        <w:rPr>
          <w:rFonts w:cs="Times New Roman"/>
          <w:color w:val="auto"/>
        </w:rPr>
      </w:pPr>
      <w:r>
        <w:rPr>
          <w:rFonts w:hint="eastAsia" w:cs="Times New Roman"/>
          <w:color w:val="auto"/>
        </w:rPr>
        <w:t>（4）</w:t>
      </w:r>
      <w:r>
        <w:rPr>
          <w:rFonts w:cs="Times New Roman"/>
          <w:color w:val="auto"/>
        </w:rPr>
        <w:t>植被覆盖因子（C）</w:t>
      </w:r>
    </w:p>
    <w:p>
      <w:pPr>
        <w:ind w:firstLine="560"/>
        <w:rPr>
          <w:rFonts w:cs="Times New Roman"/>
          <w:color w:val="auto"/>
        </w:rPr>
      </w:pPr>
      <w:r>
        <w:rPr>
          <w:rFonts w:cs="Times New Roman"/>
          <w:color w:val="auto"/>
        </w:rPr>
        <w:t>植被覆盖因子（C）反映了生态系统对土壤侵蚀的影响，是控制土壤侵蚀的积极因素。水田、湿地、城镇和荒漠分别赋值为 0，0，0.01 和 0.7，其余各生态系统类型按不同植被覆盖度进行赋值，详见</w:t>
      </w:r>
      <w:r>
        <w:rPr>
          <w:rFonts w:hint="eastAsia" w:cs="Times New Roman"/>
          <w:color w:val="auto"/>
        </w:rPr>
        <w:t>下表</w:t>
      </w:r>
      <w:r>
        <w:rPr>
          <w:rFonts w:cs="Times New Roman"/>
          <w:color w:val="auto"/>
        </w:rPr>
        <w:t>。旱地的植被覆盖因子按照以下公式计算：</w:t>
      </w:r>
    </w:p>
    <w:p>
      <w:pPr>
        <w:ind w:firstLine="0" w:firstLineChars="0"/>
        <w:jc w:val="center"/>
        <w:rPr>
          <w:rFonts w:cs="Times New Roman"/>
          <w:color w:val="auto"/>
        </w:rPr>
      </w:pPr>
      <w:r>
        <w:rPr>
          <w:rFonts w:cs="Times New Roman"/>
          <w:color w:val="auto"/>
        </w:rPr>
        <w:object>
          <v:shape id="_x0000_i1048" o:spt="75" type="#_x0000_t75" style="height:19pt;width:137pt;" o:ole="t" filled="f" o:preferrelative="t" stroked="f" coordsize="21600,21600">
            <v:path/>
            <v:fill on="f" focussize="0,0"/>
            <v:stroke on="f" joinstyle="miter"/>
            <v:imagedata r:id="rId56" o:title=""/>
            <o:lock v:ext="edit" aspectratio="t"/>
            <w10:wrap type="none"/>
            <w10:anchorlock/>
          </v:shape>
          <o:OLEObject Type="Embed" ProgID="Equation.3" ShapeID="_x0000_i1048" DrawAspect="Content" ObjectID="_1468075748" r:id="rId55">
            <o:LockedField>false</o:LockedField>
          </o:OLEObject>
        </w:object>
      </w:r>
    </w:p>
    <w:p>
      <w:pPr>
        <w:ind w:firstLine="560"/>
        <w:rPr>
          <w:rFonts w:cs="Times New Roman"/>
          <w:color w:val="auto"/>
        </w:rPr>
      </w:pPr>
      <w:r>
        <w:rPr>
          <w:rFonts w:hint="eastAsia" w:cs="Times New Roman"/>
          <w:color w:val="auto"/>
        </w:rPr>
        <w:t>式中：</w:t>
      </w:r>
      <w:r>
        <w:rPr>
          <w:rFonts w:hint="eastAsia" w:cs="Times New Roman"/>
          <w:i/>
          <w:iCs/>
          <w:color w:val="auto"/>
        </w:rPr>
        <w:t>C</w:t>
      </w:r>
      <w:r>
        <w:rPr>
          <w:rFonts w:hint="eastAsia" w:cs="Times New Roman"/>
          <w:color w:val="auto"/>
        </w:rPr>
        <w:t>——旱地的植被覆盖因子；</w:t>
      </w:r>
    </w:p>
    <w:p>
      <w:pPr>
        <w:ind w:firstLine="1400" w:firstLineChars="500"/>
        <w:rPr>
          <w:rFonts w:cs="Times New Roman"/>
          <w:color w:val="auto"/>
        </w:rPr>
      </w:pPr>
      <w:r>
        <w:rPr>
          <w:rFonts w:hint="eastAsia" w:cs="Times New Roman"/>
          <w:i/>
          <w:iCs/>
          <w:color w:val="auto"/>
        </w:rPr>
        <w:t>c</w:t>
      </w:r>
      <w:r>
        <w:rPr>
          <w:rFonts w:hint="eastAsia" w:cs="Times New Roman"/>
          <w:color w:val="auto"/>
        </w:rPr>
        <w:t>——小数形式的植被覆盖度。</w:t>
      </w:r>
    </w:p>
    <w:p>
      <w:pPr>
        <w:pStyle w:val="11"/>
        <w:spacing w:before="0" w:beforeAutospacing="0" w:after="156" w:afterLines="50" w:afterAutospacing="0" w:line="500" w:lineRule="exact"/>
        <w:ind w:left="0" w:leftChars="0" w:firstLine="0" w:firstLineChars="0"/>
        <w:jc w:val="center"/>
        <w:rPr>
          <w:b/>
          <w:bCs/>
          <w:color w:val="auto"/>
        </w:rPr>
      </w:pPr>
      <w:r>
        <w:rPr>
          <w:rFonts w:hint="eastAsia"/>
          <w:b/>
          <w:bCs/>
          <w:color w:val="auto"/>
        </w:rPr>
        <w:t>表2.3-1  不同植被覆盖的C值</w:t>
      </w:r>
    </w:p>
    <w:tbl>
      <w:tblPr>
        <w:tblStyle w:val="1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1217"/>
        <w:gridCol w:w="1217"/>
        <w:gridCol w:w="1217"/>
        <w:gridCol w:w="1218"/>
        <w:gridCol w:w="1218"/>
        <w:gridCol w:w="1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vMerge w:val="restart"/>
          </w:tcPr>
          <w:p>
            <w:pPr>
              <w:ind w:firstLine="0" w:firstLineChars="0"/>
              <w:jc w:val="center"/>
              <w:rPr>
                <w:color w:val="auto"/>
                <w:sz w:val="24"/>
                <w:szCs w:val="24"/>
              </w:rPr>
            </w:pPr>
            <w:r>
              <w:rPr>
                <w:rFonts w:hint="eastAsia"/>
                <w:color w:val="auto"/>
                <w:sz w:val="24"/>
                <w:szCs w:val="24"/>
              </w:rPr>
              <w:t>生态系统类型</w:t>
            </w:r>
          </w:p>
        </w:tc>
        <w:tc>
          <w:tcPr>
            <w:tcW w:w="7305" w:type="dxa"/>
            <w:gridSpan w:val="6"/>
          </w:tcPr>
          <w:p>
            <w:pPr>
              <w:ind w:firstLine="0" w:firstLineChars="0"/>
              <w:jc w:val="center"/>
              <w:rPr>
                <w:color w:val="auto"/>
                <w:sz w:val="24"/>
                <w:szCs w:val="24"/>
              </w:rPr>
            </w:pPr>
            <w:r>
              <w:rPr>
                <w:rFonts w:hint="eastAsia"/>
                <w:color w:val="auto"/>
                <w:sz w:val="24"/>
                <w:szCs w:val="24"/>
              </w:rPr>
              <w:t>植被覆盖度/%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vMerge w:val="continue"/>
          </w:tcPr>
          <w:p>
            <w:pPr>
              <w:ind w:firstLine="0" w:firstLineChars="0"/>
              <w:jc w:val="center"/>
              <w:rPr>
                <w:color w:val="auto"/>
                <w:sz w:val="24"/>
                <w:szCs w:val="24"/>
              </w:rPr>
            </w:pPr>
          </w:p>
        </w:tc>
        <w:tc>
          <w:tcPr>
            <w:tcW w:w="1217" w:type="dxa"/>
          </w:tcPr>
          <w:p>
            <w:pPr>
              <w:ind w:firstLine="0" w:firstLineChars="0"/>
              <w:jc w:val="center"/>
              <w:rPr>
                <w:color w:val="auto"/>
                <w:sz w:val="24"/>
                <w:szCs w:val="24"/>
              </w:rPr>
            </w:pPr>
            <w:r>
              <w:rPr>
                <w:rFonts w:hint="eastAsia"/>
                <w:color w:val="auto"/>
                <w:sz w:val="24"/>
                <w:szCs w:val="24"/>
              </w:rPr>
              <w:t>&lt;10</w:t>
            </w:r>
          </w:p>
        </w:tc>
        <w:tc>
          <w:tcPr>
            <w:tcW w:w="1217" w:type="dxa"/>
          </w:tcPr>
          <w:p>
            <w:pPr>
              <w:ind w:firstLine="0" w:firstLineChars="0"/>
              <w:jc w:val="center"/>
              <w:rPr>
                <w:color w:val="auto"/>
                <w:sz w:val="24"/>
                <w:szCs w:val="24"/>
              </w:rPr>
            </w:pPr>
            <w:r>
              <w:rPr>
                <w:rFonts w:hint="eastAsia"/>
                <w:color w:val="auto"/>
                <w:sz w:val="24"/>
                <w:szCs w:val="24"/>
              </w:rPr>
              <w:t>10~30</w:t>
            </w:r>
          </w:p>
        </w:tc>
        <w:tc>
          <w:tcPr>
            <w:tcW w:w="1217" w:type="dxa"/>
          </w:tcPr>
          <w:p>
            <w:pPr>
              <w:ind w:firstLine="0" w:firstLineChars="0"/>
              <w:jc w:val="center"/>
              <w:rPr>
                <w:color w:val="auto"/>
                <w:sz w:val="24"/>
                <w:szCs w:val="24"/>
              </w:rPr>
            </w:pPr>
            <w:r>
              <w:rPr>
                <w:rFonts w:hint="eastAsia"/>
                <w:color w:val="auto"/>
                <w:sz w:val="24"/>
                <w:szCs w:val="24"/>
              </w:rPr>
              <w:t>30~50</w:t>
            </w:r>
          </w:p>
        </w:tc>
        <w:tc>
          <w:tcPr>
            <w:tcW w:w="1218" w:type="dxa"/>
          </w:tcPr>
          <w:p>
            <w:pPr>
              <w:ind w:firstLine="0" w:firstLineChars="0"/>
              <w:jc w:val="center"/>
              <w:rPr>
                <w:color w:val="auto"/>
                <w:sz w:val="24"/>
                <w:szCs w:val="24"/>
              </w:rPr>
            </w:pPr>
            <w:r>
              <w:rPr>
                <w:rFonts w:hint="eastAsia"/>
                <w:color w:val="auto"/>
                <w:sz w:val="24"/>
                <w:szCs w:val="24"/>
              </w:rPr>
              <w:t>50~70</w:t>
            </w:r>
          </w:p>
        </w:tc>
        <w:tc>
          <w:tcPr>
            <w:tcW w:w="1218" w:type="dxa"/>
          </w:tcPr>
          <w:p>
            <w:pPr>
              <w:ind w:firstLine="0" w:firstLineChars="0"/>
              <w:jc w:val="center"/>
              <w:rPr>
                <w:color w:val="auto"/>
                <w:sz w:val="24"/>
                <w:szCs w:val="24"/>
              </w:rPr>
            </w:pPr>
            <w:r>
              <w:rPr>
                <w:rFonts w:hint="eastAsia"/>
                <w:color w:val="auto"/>
                <w:sz w:val="24"/>
                <w:szCs w:val="24"/>
              </w:rPr>
              <w:t>70~90</w:t>
            </w:r>
          </w:p>
        </w:tc>
        <w:tc>
          <w:tcPr>
            <w:tcW w:w="1218" w:type="dxa"/>
          </w:tcPr>
          <w:p>
            <w:pPr>
              <w:ind w:firstLine="0" w:firstLineChars="0"/>
              <w:jc w:val="center"/>
              <w:rPr>
                <w:color w:val="auto"/>
                <w:sz w:val="24"/>
                <w:szCs w:val="24"/>
              </w:rPr>
            </w:pPr>
            <w:r>
              <w:rPr>
                <w:rFonts w:hint="eastAsia"/>
                <w:color w:val="auto"/>
                <w:sz w:val="24"/>
                <w:szCs w:val="24"/>
              </w:rPr>
              <w:t>&gt;90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tcPr>
          <w:p>
            <w:pPr>
              <w:ind w:firstLine="0" w:firstLineChars="0"/>
              <w:jc w:val="center"/>
              <w:rPr>
                <w:color w:val="auto"/>
                <w:sz w:val="24"/>
                <w:szCs w:val="24"/>
              </w:rPr>
            </w:pPr>
            <w:r>
              <w:rPr>
                <w:rFonts w:hint="eastAsia"/>
                <w:color w:val="auto"/>
                <w:sz w:val="24"/>
                <w:szCs w:val="24"/>
              </w:rPr>
              <w:t>森林</w:t>
            </w:r>
          </w:p>
        </w:tc>
        <w:tc>
          <w:tcPr>
            <w:tcW w:w="1217" w:type="dxa"/>
          </w:tcPr>
          <w:p>
            <w:pPr>
              <w:ind w:firstLine="0" w:firstLineChars="0"/>
              <w:jc w:val="center"/>
              <w:rPr>
                <w:color w:val="auto"/>
                <w:sz w:val="24"/>
                <w:szCs w:val="24"/>
              </w:rPr>
            </w:pPr>
            <w:r>
              <w:rPr>
                <w:rFonts w:hint="eastAsia"/>
                <w:color w:val="auto"/>
                <w:sz w:val="24"/>
                <w:szCs w:val="24"/>
              </w:rPr>
              <w:t>0.10</w:t>
            </w:r>
          </w:p>
        </w:tc>
        <w:tc>
          <w:tcPr>
            <w:tcW w:w="1217" w:type="dxa"/>
          </w:tcPr>
          <w:p>
            <w:pPr>
              <w:ind w:firstLine="0" w:firstLineChars="0"/>
              <w:jc w:val="center"/>
              <w:rPr>
                <w:color w:val="auto"/>
                <w:sz w:val="24"/>
                <w:szCs w:val="24"/>
              </w:rPr>
            </w:pPr>
            <w:r>
              <w:rPr>
                <w:rFonts w:hint="eastAsia"/>
                <w:color w:val="auto"/>
                <w:sz w:val="24"/>
                <w:szCs w:val="24"/>
              </w:rPr>
              <w:t>0.08</w:t>
            </w:r>
          </w:p>
        </w:tc>
        <w:tc>
          <w:tcPr>
            <w:tcW w:w="1217" w:type="dxa"/>
          </w:tcPr>
          <w:p>
            <w:pPr>
              <w:ind w:firstLine="0" w:firstLineChars="0"/>
              <w:jc w:val="center"/>
              <w:rPr>
                <w:color w:val="auto"/>
                <w:sz w:val="24"/>
                <w:szCs w:val="24"/>
              </w:rPr>
            </w:pPr>
            <w:r>
              <w:rPr>
                <w:rFonts w:hint="eastAsia"/>
                <w:color w:val="auto"/>
                <w:sz w:val="24"/>
                <w:szCs w:val="24"/>
              </w:rPr>
              <w:t>0.06</w:t>
            </w:r>
          </w:p>
        </w:tc>
        <w:tc>
          <w:tcPr>
            <w:tcW w:w="1218" w:type="dxa"/>
          </w:tcPr>
          <w:p>
            <w:pPr>
              <w:ind w:firstLine="0" w:firstLineChars="0"/>
              <w:jc w:val="center"/>
              <w:rPr>
                <w:color w:val="auto"/>
                <w:sz w:val="24"/>
                <w:szCs w:val="24"/>
              </w:rPr>
            </w:pPr>
            <w:r>
              <w:rPr>
                <w:rFonts w:hint="eastAsia"/>
                <w:color w:val="auto"/>
                <w:sz w:val="24"/>
                <w:szCs w:val="24"/>
              </w:rPr>
              <w:t>0.02</w:t>
            </w:r>
          </w:p>
        </w:tc>
        <w:tc>
          <w:tcPr>
            <w:tcW w:w="1218" w:type="dxa"/>
          </w:tcPr>
          <w:p>
            <w:pPr>
              <w:ind w:firstLine="0" w:firstLineChars="0"/>
              <w:jc w:val="center"/>
              <w:rPr>
                <w:color w:val="auto"/>
                <w:sz w:val="24"/>
                <w:szCs w:val="24"/>
              </w:rPr>
            </w:pPr>
            <w:r>
              <w:rPr>
                <w:rFonts w:hint="eastAsia"/>
                <w:color w:val="auto"/>
                <w:sz w:val="24"/>
                <w:szCs w:val="24"/>
              </w:rPr>
              <w:t>0.004</w:t>
            </w:r>
          </w:p>
        </w:tc>
        <w:tc>
          <w:tcPr>
            <w:tcW w:w="1218" w:type="dxa"/>
          </w:tcPr>
          <w:p>
            <w:pPr>
              <w:ind w:firstLine="0" w:firstLineChars="0"/>
              <w:jc w:val="center"/>
              <w:rPr>
                <w:color w:val="auto"/>
                <w:sz w:val="24"/>
                <w:szCs w:val="24"/>
              </w:rPr>
            </w:pPr>
            <w:r>
              <w:rPr>
                <w:rFonts w:hint="eastAsia"/>
                <w:color w:val="auto"/>
                <w:sz w:val="24"/>
                <w:szCs w:val="24"/>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tcPr>
          <w:p>
            <w:pPr>
              <w:ind w:firstLine="0" w:firstLineChars="0"/>
              <w:jc w:val="center"/>
              <w:rPr>
                <w:color w:val="auto"/>
                <w:sz w:val="24"/>
                <w:szCs w:val="24"/>
              </w:rPr>
            </w:pPr>
            <w:r>
              <w:rPr>
                <w:rFonts w:hint="eastAsia"/>
                <w:color w:val="auto"/>
                <w:sz w:val="24"/>
                <w:szCs w:val="24"/>
              </w:rPr>
              <w:t>灌丛</w:t>
            </w:r>
          </w:p>
        </w:tc>
        <w:tc>
          <w:tcPr>
            <w:tcW w:w="1217" w:type="dxa"/>
          </w:tcPr>
          <w:p>
            <w:pPr>
              <w:ind w:firstLine="0" w:firstLineChars="0"/>
              <w:jc w:val="center"/>
              <w:rPr>
                <w:color w:val="auto"/>
                <w:sz w:val="24"/>
                <w:szCs w:val="24"/>
              </w:rPr>
            </w:pPr>
            <w:r>
              <w:rPr>
                <w:rFonts w:hint="eastAsia"/>
                <w:color w:val="auto"/>
                <w:sz w:val="24"/>
                <w:szCs w:val="24"/>
              </w:rPr>
              <w:t>0.40</w:t>
            </w:r>
          </w:p>
        </w:tc>
        <w:tc>
          <w:tcPr>
            <w:tcW w:w="1217" w:type="dxa"/>
          </w:tcPr>
          <w:p>
            <w:pPr>
              <w:ind w:firstLine="0" w:firstLineChars="0"/>
              <w:jc w:val="center"/>
              <w:rPr>
                <w:color w:val="auto"/>
                <w:sz w:val="24"/>
                <w:szCs w:val="24"/>
              </w:rPr>
            </w:pPr>
            <w:r>
              <w:rPr>
                <w:rFonts w:hint="eastAsia"/>
                <w:color w:val="auto"/>
                <w:sz w:val="24"/>
                <w:szCs w:val="24"/>
              </w:rPr>
              <w:t>0.22</w:t>
            </w:r>
          </w:p>
        </w:tc>
        <w:tc>
          <w:tcPr>
            <w:tcW w:w="1217" w:type="dxa"/>
          </w:tcPr>
          <w:p>
            <w:pPr>
              <w:ind w:firstLine="0" w:firstLineChars="0"/>
              <w:jc w:val="center"/>
              <w:rPr>
                <w:color w:val="auto"/>
                <w:sz w:val="24"/>
                <w:szCs w:val="24"/>
              </w:rPr>
            </w:pPr>
            <w:r>
              <w:rPr>
                <w:rFonts w:hint="eastAsia"/>
                <w:color w:val="auto"/>
                <w:sz w:val="24"/>
                <w:szCs w:val="24"/>
              </w:rPr>
              <w:t>0.14</w:t>
            </w:r>
          </w:p>
        </w:tc>
        <w:tc>
          <w:tcPr>
            <w:tcW w:w="1218" w:type="dxa"/>
          </w:tcPr>
          <w:p>
            <w:pPr>
              <w:ind w:firstLine="0" w:firstLineChars="0"/>
              <w:jc w:val="center"/>
              <w:rPr>
                <w:color w:val="auto"/>
                <w:sz w:val="24"/>
                <w:szCs w:val="24"/>
              </w:rPr>
            </w:pPr>
            <w:r>
              <w:rPr>
                <w:rFonts w:hint="eastAsia"/>
                <w:color w:val="auto"/>
                <w:sz w:val="24"/>
                <w:szCs w:val="24"/>
              </w:rPr>
              <w:t>0.085</w:t>
            </w:r>
          </w:p>
        </w:tc>
        <w:tc>
          <w:tcPr>
            <w:tcW w:w="1218" w:type="dxa"/>
          </w:tcPr>
          <w:p>
            <w:pPr>
              <w:ind w:firstLine="0" w:firstLineChars="0"/>
              <w:jc w:val="center"/>
              <w:rPr>
                <w:color w:val="auto"/>
                <w:sz w:val="24"/>
                <w:szCs w:val="24"/>
              </w:rPr>
            </w:pPr>
            <w:r>
              <w:rPr>
                <w:rFonts w:hint="eastAsia"/>
                <w:color w:val="auto"/>
                <w:sz w:val="24"/>
                <w:szCs w:val="24"/>
              </w:rPr>
              <w:t>0.040</w:t>
            </w:r>
          </w:p>
        </w:tc>
        <w:tc>
          <w:tcPr>
            <w:tcW w:w="1218" w:type="dxa"/>
          </w:tcPr>
          <w:p>
            <w:pPr>
              <w:ind w:firstLine="0" w:firstLineChars="0"/>
              <w:jc w:val="center"/>
              <w:rPr>
                <w:color w:val="auto"/>
                <w:sz w:val="24"/>
                <w:szCs w:val="24"/>
              </w:rPr>
            </w:pPr>
            <w:r>
              <w:rPr>
                <w:rFonts w:hint="eastAsia"/>
                <w:color w:val="auto"/>
                <w:sz w:val="24"/>
                <w:szCs w:val="24"/>
              </w:rPr>
              <w:t>0.011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tcPr>
          <w:p>
            <w:pPr>
              <w:ind w:firstLine="0" w:firstLineChars="0"/>
              <w:jc w:val="center"/>
              <w:rPr>
                <w:color w:val="auto"/>
                <w:sz w:val="24"/>
                <w:szCs w:val="24"/>
              </w:rPr>
            </w:pPr>
            <w:r>
              <w:rPr>
                <w:rFonts w:hint="eastAsia"/>
                <w:color w:val="auto"/>
                <w:sz w:val="24"/>
                <w:szCs w:val="24"/>
              </w:rPr>
              <w:t>草地</w:t>
            </w:r>
          </w:p>
        </w:tc>
        <w:tc>
          <w:tcPr>
            <w:tcW w:w="1217" w:type="dxa"/>
          </w:tcPr>
          <w:p>
            <w:pPr>
              <w:ind w:firstLine="0" w:firstLineChars="0"/>
              <w:jc w:val="center"/>
              <w:rPr>
                <w:color w:val="auto"/>
                <w:sz w:val="24"/>
                <w:szCs w:val="24"/>
              </w:rPr>
            </w:pPr>
            <w:r>
              <w:rPr>
                <w:rFonts w:hint="eastAsia"/>
                <w:color w:val="auto"/>
                <w:sz w:val="24"/>
                <w:szCs w:val="24"/>
              </w:rPr>
              <w:t>0.45</w:t>
            </w:r>
          </w:p>
        </w:tc>
        <w:tc>
          <w:tcPr>
            <w:tcW w:w="1217" w:type="dxa"/>
          </w:tcPr>
          <w:p>
            <w:pPr>
              <w:ind w:firstLine="0" w:firstLineChars="0"/>
              <w:jc w:val="center"/>
              <w:rPr>
                <w:color w:val="auto"/>
                <w:sz w:val="24"/>
                <w:szCs w:val="24"/>
              </w:rPr>
            </w:pPr>
            <w:r>
              <w:rPr>
                <w:rFonts w:hint="eastAsia"/>
                <w:color w:val="auto"/>
                <w:sz w:val="24"/>
                <w:szCs w:val="24"/>
              </w:rPr>
              <w:t>0.24</w:t>
            </w:r>
          </w:p>
        </w:tc>
        <w:tc>
          <w:tcPr>
            <w:tcW w:w="1217" w:type="dxa"/>
          </w:tcPr>
          <w:p>
            <w:pPr>
              <w:ind w:firstLine="0" w:firstLineChars="0"/>
              <w:jc w:val="center"/>
              <w:rPr>
                <w:color w:val="auto"/>
                <w:sz w:val="24"/>
                <w:szCs w:val="24"/>
              </w:rPr>
            </w:pPr>
            <w:r>
              <w:rPr>
                <w:rFonts w:hint="eastAsia"/>
                <w:color w:val="auto"/>
                <w:sz w:val="24"/>
                <w:szCs w:val="24"/>
              </w:rPr>
              <w:t>0.15</w:t>
            </w:r>
          </w:p>
        </w:tc>
        <w:tc>
          <w:tcPr>
            <w:tcW w:w="1218" w:type="dxa"/>
          </w:tcPr>
          <w:p>
            <w:pPr>
              <w:ind w:firstLine="0" w:firstLineChars="0"/>
              <w:jc w:val="center"/>
              <w:rPr>
                <w:color w:val="auto"/>
                <w:sz w:val="24"/>
                <w:szCs w:val="24"/>
              </w:rPr>
            </w:pPr>
            <w:r>
              <w:rPr>
                <w:rFonts w:hint="eastAsia"/>
                <w:color w:val="auto"/>
                <w:sz w:val="24"/>
                <w:szCs w:val="24"/>
              </w:rPr>
              <w:t>0.09</w:t>
            </w:r>
          </w:p>
        </w:tc>
        <w:tc>
          <w:tcPr>
            <w:tcW w:w="1218" w:type="dxa"/>
          </w:tcPr>
          <w:p>
            <w:pPr>
              <w:ind w:firstLine="0" w:firstLineChars="0"/>
              <w:jc w:val="center"/>
              <w:rPr>
                <w:color w:val="auto"/>
                <w:sz w:val="24"/>
                <w:szCs w:val="24"/>
              </w:rPr>
            </w:pPr>
            <w:r>
              <w:rPr>
                <w:rFonts w:hint="eastAsia"/>
                <w:color w:val="auto"/>
                <w:sz w:val="24"/>
                <w:szCs w:val="24"/>
              </w:rPr>
              <w:t>0.043</w:t>
            </w:r>
          </w:p>
        </w:tc>
        <w:tc>
          <w:tcPr>
            <w:tcW w:w="1218" w:type="dxa"/>
          </w:tcPr>
          <w:p>
            <w:pPr>
              <w:ind w:firstLine="0" w:firstLineChars="0"/>
              <w:jc w:val="center"/>
              <w:rPr>
                <w:color w:val="auto"/>
                <w:sz w:val="24"/>
                <w:szCs w:val="24"/>
              </w:rPr>
            </w:pPr>
            <w:r>
              <w:rPr>
                <w:rFonts w:hint="eastAsia"/>
                <w:color w:val="auto"/>
                <w:sz w:val="24"/>
                <w:szCs w:val="24"/>
              </w:rPr>
              <w:t>0.011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tcPr>
          <w:p>
            <w:pPr>
              <w:ind w:firstLine="0" w:firstLineChars="0"/>
              <w:jc w:val="center"/>
              <w:rPr>
                <w:color w:val="auto"/>
                <w:sz w:val="24"/>
                <w:szCs w:val="24"/>
              </w:rPr>
            </w:pPr>
            <w:r>
              <w:rPr>
                <w:rFonts w:hint="eastAsia"/>
                <w:color w:val="auto"/>
                <w:sz w:val="24"/>
                <w:szCs w:val="24"/>
              </w:rPr>
              <w:t>乔木园地</w:t>
            </w:r>
          </w:p>
        </w:tc>
        <w:tc>
          <w:tcPr>
            <w:tcW w:w="1217" w:type="dxa"/>
          </w:tcPr>
          <w:p>
            <w:pPr>
              <w:ind w:firstLine="0" w:firstLineChars="0"/>
              <w:jc w:val="center"/>
              <w:rPr>
                <w:color w:val="auto"/>
                <w:sz w:val="24"/>
                <w:szCs w:val="24"/>
              </w:rPr>
            </w:pPr>
            <w:r>
              <w:rPr>
                <w:rFonts w:hint="eastAsia"/>
                <w:color w:val="auto"/>
                <w:sz w:val="24"/>
                <w:szCs w:val="24"/>
              </w:rPr>
              <w:t>0.42</w:t>
            </w:r>
          </w:p>
        </w:tc>
        <w:tc>
          <w:tcPr>
            <w:tcW w:w="1217" w:type="dxa"/>
          </w:tcPr>
          <w:p>
            <w:pPr>
              <w:ind w:firstLine="0" w:firstLineChars="0"/>
              <w:jc w:val="center"/>
              <w:rPr>
                <w:color w:val="auto"/>
                <w:sz w:val="24"/>
                <w:szCs w:val="24"/>
              </w:rPr>
            </w:pPr>
            <w:r>
              <w:rPr>
                <w:rFonts w:hint="eastAsia"/>
                <w:color w:val="auto"/>
                <w:sz w:val="24"/>
                <w:szCs w:val="24"/>
              </w:rPr>
              <w:t>0.23</w:t>
            </w:r>
          </w:p>
        </w:tc>
        <w:tc>
          <w:tcPr>
            <w:tcW w:w="1217" w:type="dxa"/>
          </w:tcPr>
          <w:p>
            <w:pPr>
              <w:ind w:firstLine="0" w:firstLineChars="0"/>
              <w:jc w:val="center"/>
              <w:rPr>
                <w:color w:val="auto"/>
                <w:sz w:val="24"/>
                <w:szCs w:val="24"/>
              </w:rPr>
            </w:pPr>
            <w:r>
              <w:rPr>
                <w:rFonts w:hint="eastAsia"/>
                <w:color w:val="auto"/>
                <w:sz w:val="24"/>
                <w:szCs w:val="24"/>
              </w:rPr>
              <w:t>0.14</w:t>
            </w:r>
          </w:p>
        </w:tc>
        <w:tc>
          <w:tcPr>
            <w:tcW w:w="1218" w:type="dxa"/>
          </w:tcPr>
          <w:p>
            <w:pPr>
              <w:ind w:firstLine="0" w:firstLineChars="0"/>
              <w:jc w:val="center"/>
              <w:rPr>
                <w:color w:val="auto"/>
                <w:sz w:val="24"/>
                <w:szCs w:val="24"/>
              </w:rPr>
            </w:pPr>
            <w:r>
              <w:rPr>
                <w:rFonts w:hint="eastAsia"/>
                <w:color w:val="auto"/>
                <w:sz w:val="24"/>
                <w:szCs w:val="24"/>
              </w:rPr>
              <w:t>0.089</w:t>
            </w:r>
          </w:p>
        </w:tc>
        <w:tc>
          <w:tcPr>
            <w:tcW w:w="1218" w:type="dxa"/>
          </w:tcPr>
          <w:p>
            <w:pPr>
              <w:ind w:firstLine="0" w:firstLineChars="0"/>
              <w:jc w:val="center"/>
              <w:rPr>
                <w:color w:val="auto"/>
                <w:sz w:val="24"/>
                <w:szCs w:val="24"/>
              </w:rPr>
            </w:pPr>
            <w:r>
              <w:rPr>
                <w:rFonts w:hint="eastAsia"/>
                <w:color w:val="auto"/>
                <w:sz w:val="24"/>
                <w:szCs w:val="24"/>
              </w:rPr>
              <w:t>0.042</w:t>
            </w:r>
          </w:p>
        </w:tc>
        <w:tc>
          <w:tcPr>
            <w:tcW w:w="1218" w:type="dxa"/>
          </w:tcPr>
          <w:p>
            <w:pPr>
              <w:ind w:firstLine="0" w:firstLineChars="0"/>
              <w:jc w:val="center"/>
              <w:rPr>
                <w:color w:val="auto"/>
                <w:sz w:val="24"/>
                <w:szCs w:val="24"/>
              </w:rPr>
            </w:pPr>
            <w:r>
              <w:rPr>
                <w:rFonts w:hint="eastAsia"/>
                <w:color w:val="auto"/>
                <w:sz w:val="24"/>
                <w:szCs w:val="24"/>
              </w:rPr>
              <w:t>0.011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tcPr>
          <w:p>
            <w:pPr>
              <w:ind w:firstLine="0" w:firstLineChars="0"/>
              <w:jc w:val="center"/>
              <w:rPr>
                <w:color w:val="auto"/>
                <w:sz w:val="24"/>
                <w:szCs w:val="24"/>
              </w:rPr>
            </w:pPr>
            <w:r>
              <w:rPr>
                <w:rFonts w:hint="eastAsia"/>
                <w:color w:val="auto"/>
                <w:sz w:val="24"/>
                <w:szCs w:val="24"/>
              </w:rPr>
              <w:t>灌木园地</w:t>
            </w:r>
          </w:p>
        </w:tc>
        <w:tc>
          <w:tcPr>
            <w:tcW w:w="1217" w:type="dxa"/>
          </w:tcPr>
          <w:p>
            <w:pPr>
              <w:ind w:firstLine="0" w:firstLineChars="0"/>
              <w:jc w:val="center"/>
              <w:rPr>
                <w:color w:val="auto"/>
                <w:sz w:val="24"/>
                <w:szCs w:val="24"/>
              </w:rPr>
            </w:pPr>
            <w:r>
              <w:rPr>
                <w:rFonts w:hint="eastAsia"/>
                <w:color w:val="auto"/>
                <w:sz w:val="24"/>
                <w:szCs w:val="24"/>
              </w:rPr>
              <w:t>0.40</w:t>
            </w:r>
          </w:p>
        </w:tc>
        <w:tc>
          <w:tcPr>
            <w:tcW w:w="1217" w:type="dxa"/>
          </w:tcPr>
          <w:p>
            <w:pPr>
              <w:ind w:firstLine="0" w:firstLineChars="0"/>
              <w:jc w:val="center"/>
              <w:rPr>
                <w:color w:val="auto"/>
                <w:sz w:val="24"/>
                <w:szCs w:val="24"/>
              </w:rPr>
            </w:pPr>
            <w:r>
              <w:rPr>
                <w:rFonts w:hint="eastAsia"/>
                <w:color w:val="auto"/>
                <w:sz w:val="24"/>
                <w:szCs w:val="24"/>
              </w:rPr>
              <w:t>0.22</w:t>
            </w:r>
          </w:p>
        </w:tc>
        <w:tc>
          <w:tcPr>
            <w:tcW w:w="1217" w:type="dxa"/>
          </w:tcPr>
          <w:p>
            <w:pPr>
              <w:ind w:firstLine="0" w:firstLineChars="0"/>
              <w:jc w:val="center"/>
              <w:rPr>
                <w:color w:val="auto"/>
                <w:sz w:val="24"/>
                <w:szCs w:val="24"/>
              </w:rPr>
            </w:pPr>
            <w:r>
              <w:rPr>
                <w:rFonts w:hint="eastAsia"/>
                <w:color w:val="auto"/>
                <w:sz w:val="24"/>
                <w:szCs w:val="24"/>
              </w:rPr>
              <w:t>0.14</w:t>
            </w:r>
          </w:p>
        </w:tc>
        <w:tc>
          <w:tcPr>
            <w:tcW w:w="1218" w:type="dxa"/>
          </w:tcPr>
          <w:p>
            <w:pPr>
              <w:ind w:firstLine="0" w:firstLineChars="0"/>
              <w:jc w:val="center"/>
              <w:rPr>
                <w:color w:val="auto"/>
                <w:sz w:val="24"/>
                <w:szCs w:val="24"/>
              </w:rPr>
            </w:pPr>
            <w:r>
              <w:rPr>
                <w:rFonts w:hint="eastAsia"/>
                <w:color w:val="auto"/>
                <w:sz w:val="24"/>
                <w:szCs w:val="24"/>
              </w:rPr>
              <w:t>0.087</w:t>
            </w:r>
          </w:p>
        </w:tc>
        <w:tc>
          <w:tcPr>
            <w:tcW w:w="1218" w:type="dxa"/>
          </w:tcPr>
          <w:p>
            <w:pPr>
              <w:ind w:firstLine="0" w:firstLineChars="0"/>
              <w:jc w:val="center"/>
              <w:rPr>
                <w:color w:val="auto"/>
                <w:sz w:val="24"/>
                <w:szCs w:val="24"/>
              </w:rPr>
            </w:pPr>
            <w:r>
              <w:rPr>
                <w:rFonts w:hint="eastAsia"/>
                <w:color w:val="auto"/>
                <w:sz w:val="24"/>
                <w:szCs w:val="24"/>
              </w:rPr>
              <w:t>0.042</w:t>
            </w:r>
          </w:p>
        </w:tc>
        <w:tc>
          <w:tcPr>
            <w:tcW w:w="1218" w:type="dxa"/>
          </w:tcPr>
          <w:p>
            <w:pPr>
              <w:ind w:firstLine="0" w:firstLineChars="0"/>
              <w:jc w:val="center"/>
              <w:rPr>
                <w:color w:val="auto"/>
                <w:sz w:val="24"/>
                <w:szCs w:val="24"/>
              </w:rPr>
            </w:pPr>
            <w:r>
              <w:rPr>
                <w:rFonts w:hint="eastAsia"/>
                <w:color w:val="auto"/>
                <w:sz w:val="24"/>
                <w:szCs w:val="24"/>
              </w:rPr>
              <w:t>0.011</w:t>
            </w:r>
          </w:p>
        </w:tc>
      </w:tr>
    </w:tbl>
    <w:p>
      <w:pPr>
        <w:ind w:firstLine="560"/>
        <w:rPr>
          <w:rFonts w:cs="Times New Roman"/>
          <w:color w:val="auto"/>
        </w:rPr>
      </w:pPr>
      <w:r>
        <w:rPr>
          <w:rFonts w:hint="eastAsia" w:cs="Times New Roman"/>
          <w:color w:val="auto"/>
        </w:rPr>
        <w:t>规划基于修正通用土壤流失方程（RUSLE）为评价模型，对各个因子进行提取。利用国家气象科学数据中心提供的降雨数据，计算降雨侵蚀力因子，根据绥棱县土壤质地数据来计算土壤可蚀性因子，主要利用数据库中的砂粒、粉粒、黏粒和有机碳含量等数据；DEM 数据来自地理空间数据云，以DEM高程数据为基础提取模型所需的坡长和坡度因子；利用遥感技术来获取相应数据，包含了土壤侵蚀有关的植被覆盖以及土地利用信息等。之后借助RUSLE模型对因子进行运算，分析和得到各个像元的年土壤保持量，将其按照对应的强度等级进行划分。</w:t>
      </w:r>
    </w:p>
    <w:p>
      <w:pPr>
        <w:ind w:firstLine="560"/>
        <w:rPr>
          <w:rFonts w:hint="eastAsia" w:cs="Times New Roman"/>
          <w:color w:val="auto"/>
          <w:lang w:eastAsia="zh-CN"/>
        </w:rPr>
      </w:pPr>
      <w:r>
        <w:rPr>
          <w:rFonts w:hint="eastAsia" w:cs="Times New Roman"/>
          <w:color w:val="auto"/>
        </w:rPr>
        <w:t>运用RUSLE模型运算得出，绥棱县生态系统土壤保持总量为120372.89t，全县土壤保持强度较弱。其中农田生态系统土壤保持量为16040.14，占比13.3%，森林生态系统土壤保持量为100046.6t，占比83.1%，草地生态系统土壤保持量为4286.15t，占比3.6%</w:t>
      </w:r>
      <w:r>
        <w:rPr>
          <w:rFonts w:hint="eastAsia" w:cs="Times New Roman"/>
          <w:color w:val="auto"/>
          <w:lang w:eastAsia="zh-CN"/>
        </w:rPr>
        <w:t>。</w:t>
      </w:r>
    </w:p>
    <w:p>
      <w:pPr>
        <w:pStyle w:val="5"/>
        <w:spacing w:after="156" w:afterLines="50"/>
        <w:ind w:firstLine="0" w:firstLineChars="0"/>
        <w:rPr>
          <w:rFonts w:hint="default" w:eastAsia="仿宋" w:cs="Times New Roman"/>
          <w:b/>
          <w:bCs/>
          <w:color w:val="auto"/>
          <w:sz w:val="28"/>
          <w:lang w:val="en-US" w:eastAsia="zh-CN"/>
        </w:rPr>
      </w:pPr>
      <w:r>
        <w:rPr>
          <w:rFonts w:eastAsia="仿宋" w:cs="Times New Roman"/>
          <w:b/>
          <w:bCs/>
          <w:color w:val="auto"/>
          <w:sz w:val="28"/>
        </w:rPr>
        <w:t>2.3.4.</w:t>
      </w:r>
      <w:r>
        <w:rPr>
          <w:rFonts w:hint="eastAsia" w:eastAsia="仿宋" w:cs="Times New Roman"/>
          <w:b/>
          <w:bCs/>
          <w:color w:val="auto"/>
          <w:sz w:val="28"/>
          <w:lang w:val="en-US" w:eastAsia="zh-CN"/>
        </w:rPr>
        <w:t>6与《绥化市“十四五”生态环境保护规划》的符合性分析</w:t>
      </w:r>
    </w:p>
    <w:p>
      <w:pPr>
        <w:ind w:firstLine="560"/>
        <w:rPr>
          <w:rFonts w:hint="eastAsia" w:cs="Times New Roman"/>
          <w:color w:val="auto"/>
          <w:lang w:val="en-US" w:eastAsia="zh-CN"/>
        </w:rPr>
      </w:pPr>
      <w:r>
        <w:rPr>
          <w:rFonts w:hint="eastAsia" w:cs="Times New Roman"/>
          <w:color w:val="auto"/>
          <w:lang w:val="en-US" w:eastAsia="zh-CN"/>
        </w:rPr>
        <w:t>规划指出：二、要强化系统治理，持续提升水环境质量。加大城镇污水管网建设力度。加强初期雨水收集和处理。加强黑土地保护，维护土壤环境安全。防控矿产资源开发污染土壤，督促矿山企业依法落实环境污染修复工程措施，切实防治土壤污染。以实现资源利用高效化、开采方式科学化、生产工艺绿色化、矿山环境生态化为目标，全面推进绿色矿山建设。推动废弃矿山综合整治和生态修复，因地制宜管控矿区污染土壤和酸性废水环境风险，鼓励采取自然恢复等措施。加强农田基础工程设施建设，积极推进生态友好的高标准农田建设，巩固和提高黑土耕地综合生产能力。推进田间灌溉与排水建设，实施农田生态防护林和高效节水灌溉工程建设。加强农机化建设，积极推广应用大马力拖拉机、秸秆还田机、翻转犁、免耕播种机、深松整地机、有机肥抛洒车等先进农机装备。加快耕地水土流失综合治理。坚持山水林田湖草沙冰系统治理、综合治理，减轻风蚀水蚀，防治水土流失。以小流域为单元、以侵蚀沟治理为重点，科学推进水土流失综合治理，防治黑土水蚀。改善农业农村生态环境，梯次推进农村生活污水治理。加强农村生活污水治理与农村厕所改造相衔接，积极推进粪污无害化处理和资源化利用。</w:t>
      </w:r>
    </w:p>
    <w:p>
      <w:pPr>
        <w:numPr>
          <w:ilvl w:val="0"/>
          <w:numId w:val="4"/>
        </w:numPr>
        <w:ind w:firstLine="560"/>
        <w:rPr>
          <w:rFonts w:hint="eastAsia" w:cs="Times New Roman"/>
          <w:color w:val="auto"/>
          <w:lang w:eastAsia="zh-CN"/>
        </w:rPr>
      </w:pPr>
      <w:r>
        <w:rPr>
          <w:rFonts w:hint="eastAsia" w:cs="Times New Roman"/>
          <w:color w:val="auto"/>
        </w:rPr>
        <w:t>注重修复和管护，筑牢北方生态安全屏障。全面推行林长制，保障林地保有量、湿地保有量，确保保护率的稳步提升。牢固树立“生态优先”理念，以系统化的思维、综合性的措施、强有力的手段，把生态保护与林草资源提升、林草产业发展结合起来，构建林草业高质量发展的示范体系，在湿地保护恢复、农田林网修复、村屯绿化等方面增加数量、提升质量，实现山水林田湖草的一体化保护修复目标</w:t>
      </w:r>
      <w:r>
        <w:rPr>
          <w:rFonts w:hint="eastAsia" w:cs="Times New Roman"/>
          <w:color w:val="auto"/>
          <w:lang w:eastAsia="zh-CN"/>
        </w:rPr>
        <w:t>。规划对呼兰河、通肯河、努敏河、肇兰新河、安肇新河5条主要河流以及克音河、泥河、尼尔根河等大型河流支流及小型河流进行森林质量提升、景观营造工作，确保河流两侧绿化。构建以国家公园为主体的自然保护地体系。加强生物多样性保护体制建设，强化就地保护，加强野生动植物种群及其栖息地生态环境保护。加强野生动植物保护监督，全面禁止非法交易野生动物。</w:t>
      </w:r>
    </w:p>
    <w:p>
      <w:pPr>
        <w:ind w:firstLine="560"/>
        <w:rPr>
          <w:rFonts w:hint="default" w:eastAsia="仿宋" w:cs="Times New Roman"/>
          <w:color w:val="auto"/>
          <w:lang w:val="en-US" w:eastAsia="zh-CN"/>
        </w:rPr>
      </w:pPr>
      <w:r>
        <w:rPr>
          <w:rFonts w:hint="eastAsia" w:cs="Times New Roman"/>
          <w:color w:val="auto"/>
          <w:lang w:val="en-US" w:eastAsia="zh-CN"/>
        </w:rPr>
        <w:t>规划通过侵蚀沟治理、高标准农田建设、植树造林等重点工程措施，进一步提升水源涵养能力，提升黑土地地力，控制水土流失侵蚀程度</w:t>
      </w:r>
      <w:r>
        <w:rPr>
          <w:rFonts w:hint="eastAsia" w:cs="Times New Roman"/>
          <w:color w:val="auto"/>
          <w:lang w:eastAsia="zh-CN"/>
        </w:rPr>
        <w:t>。</w:t>
      </w:r>
      <w:r>
        <w:rPr>
          <w:rFonts w:hint="eastAsia" w:cs="Times New Roman"/>
          <w:color w:val="auto"/>
          <w:szCs w:val="22"/>
        </w:rPr>
        <w:t>加大历史遗留废弃矿山生态环境治理修复力度</w:t>
      </w:r>
      <w:r>
        <w:rPr>
          <w:rFonts w:hint="eastAsia" w:cs="Times New Roman"/>
          <w:color w:val="auto"/>
          <w:szCs w:val="22"/>
          <w:lang w:eastAsia="zh-CN"/>
        </w:rPr>
        <w:t>，</w:t>
      </w:r>
      <w:r>
        <w:rPr>
          <w:rFonts w:hint="eastAsia" w:cs="Times New Roman"/>
          <w:color w:val="auto"/>
          <w:szCs w:val="22"/>
          <w:lang w:val="en-US" w:eastAsia="zh-CN"/>
        </w:rPr>
        <w:t>采取修复地形地貌景观、平整土地、恢复植被等措施，修复废弃矿山生态环境，降低水土流失程度。</w:t>
      </w:r>
      <w:r>
        <w:rPr>
          <w:rFonts w:hint="eastAsia" w:cs="Times New Roman"/>
          <w:color w:val="auto"/>
          <w:lang w:val="en-US" w:eastAsia="zh-CN"/>
        </w:rPr>
        <w:t>十四五期间通过城镇污水管网的建设，</w:t>
      </w:r>
      <w:r>
        <w:rPr>
          <w:rFonts w:cs="Times New Roman"/>
          <w:color w:val="auto"/>
        </w:rPr>
        <w:t>完善城市排水与暴雨内涝防治体系</w:t>
      </w:r>
      <w:r>
        <w:rPr>
          <w:rFonts w:hint="eastAsia" w:cs="Times New Roman"/>
          <w:color w:val="auto"/>
          <w:lang w:eastAsia="zh-CN"/>
        </w:rPr>
        <w:t>，</w:t>
      </w:r>
      <w:r>
        <w:rPr>
          <w:rFonts w:cs="Times New Roman"/>
          <w:color w:val="auto"/>
        </w:rPr>
        <w:t>推进农村改厕、农村生活垃圾分类、农村生活污水治理</w:t>
      </w:r>
      <w:r>
        <w:rPr>
          <w:rFonts w:hint="eastAsia" w:cs="Times New Roman"/>
          <w:color w:val="auto"/>
          <w:lang w:eastAsia="zh-CN"/>
        </w:rPr>
        <w:t>，</w:t>
      </w:r>
      <w:r>
        <w:rPr>
          <w:rFonts w:hint="eastAsia" w:cs="Times New Roman"/>
          <w:color w:val="auto"/>
          <w:lang w:val="en-US" w:eastAsia="zh-CN"/>
        </w:rPr>
        <w:t>改善乡镇人居环境。植树造林等重点工程的实施，</w:t>
      </w:r>
      <w:r>
        <w:rPr>
          <w:rFonts w:hint="eastAsia" w:cs="Times New Roman"/>
          <w:color w:val="auto"/>
        </w:rPr>
        <w:t>保障林地保有量</w:t>
      </w:r>
      <w:r>
        <w:rPr>
          <w:rFonts w:hint="eastAsia" w:cs="Times New Roman"/>
          <w:color w:val="auto"/>
          <w:lang w:eastAsia="zh-CN"/>
        </w:rPr>
        <w:t>，</w:t>
      </w:r>
      <w:r>
        <w:rPr>
          <w:rFonts w:hint="eastAsia" w:cs="Times New Roman"/>
          <w:color w:val="auto"/>
          <w:lang w:val="en-US" w:eastAsia="zh-CN"/>
        </w:rPr>
        <w:t>通过采取</w:t>
      </w:r>
      <w:r>
        <w:rPr>
          <w:rFonts w:cs="Times New Roman"/>
          <w:color w:val="auto"/>
          <w:szCs w:val="22"/>
        </w:rPr>
        <w:t>落实湿地保护管理目标责任制，禁止围垦湿地</w:t>
      </w:r>
      <w:r>
        <w:rPr>
          <w:rFonts w:hint="eastAsia" w:cs="Times New Roman"/>
          <w:color w:val="auto"/>
          <w:szCs w:val="22"/>
          <w:lang w:val="en-US" w:eastAsia="zh-CN"/>
        </w:rPr>
        <w:t>等管控措施，保障湿地保有量。综上所述，规划的实施符合《绥化市“十四五”生态环境保护规划》相关要求。</w:t>
      </w:r>
    </w:p>
    <w:p>
      <w:pPr>
        <w:pStyle w:val="15"/>
        <w:rPr>
          <w:color w:val="auto"/>
        </w:rPr>
      </w:pPr>
    </w:p>
    <w:p>
      <w:pPr>
        <w:ind w:left="0" w:leftChars="0" w:firstLine="0" w:firstLineChars="0"/>
        <w:rPr>
          <w:rFonts w:cs="Times New Roman"/>
          <w:color w:val="auto"/>
        </w:rPr>
        <w:sectPr>
          <w:pgSz w:w="11906" w:h="16838"/>
          <w:pgMar w:top="1440" w:right="1800" w:bottom="1440" w:left="1800" w:header="851" w:footer="992" w:gutter="0"/>
          <w:cols w:space="425" w:num="1"/>
          <w:docGrid w:type="lines" w:linePitch="312" w:charSpace="0"/>
        </w:sectPr>
      </w:pPr>
    </w:p>
    <w:p>
      <w:pPr>
        <w:pStyle w:val="2"/>
        <w:ind w:firstLine="0" w:firstLineChars="0"/>
        <w:rPr>
          <w:rFonts w:hint="default" w:ascii="Times New Roman" w:hAnsi="Times New Roman" w:eastAsia="仿宋"/>
          <w:color w:val="auto"/>
        </w:rPr>
      </w:pPr>
      <w:bookmarkStart w:id="28" w:name="_Toc13510"/>
      <w:r>
        <w:rPr>
          <w:rFonts w:ascii="Times New Roman" w:hAnsi="Times New Roman" w:eastAsia="仿宋"/>
          <w:color w:val="auto"/>
        </w:rPr>
        <w:t>3</w:t>
      </w:r>
      <w:r>
        <w:rPr>
          <w:rFonts w:hint="default" w:ascii="Times New Roman" w:hAnsi="Times New Roman" w:eastAsia="仿宋"/>
          <w:color w:val="auto"/>
        </w:rPr>
        <w:t xml:space="preserve"> 规划目标</w:t>
      </w:r>
      <w:bookmarkEnd w:id="28"/>
    </w:p>
    <w:p>
      <w:pPr>
        <w:pStyle w:val="3"/>
        <w:ind w:firstLine="0" w:firstLineChars="0"/>
        <w:rPr>
          <w:rFonts w:ascii="Times New Roman" w:hAnsi="Times New Roman" w:eastAsia="仿宋" w:cs="Times New Roman"/>
          <w:color w:val="auto"/>
        </w:rPr>
      </w:pPr>
      <w:bookmarkStart w:id="29" w:name="_Toc8709"/>
      <w:r>
        <w:rPr>
          <w:rFonts w:hint="eastAsia" w:ascii="Times New Roman" w:hAnsi="Times New Roman" w:eastAsia="仿宋" w:cs="Times New Roman"/>
          <w:color w:val="auto"/>
        </w:rPr>
        <w:t>3.1 规划目标</w:t>
      </w:r>
      <w:bookmarkEnd w:id="29"/>
    </w:p>
    <w:p>
      <w:pPr>
        <w:ind w:firstLine="600"/>
        <w:rPr>
          <w:rFonts w:cs="Times New Roman"/>
          <w:color w:val="auto"/>
          <w:sz w:val="30"/>
          <w:szCs w:val="30"/>
        </w:rPr>
      </w:pPr>
      <w:r>
        <w:rPr>
          <w:rFonts w:cs="Times New Roman"/>
          <w:color w:val="auto"/>
          <w:sz w:val="30"/>
          <w:szCs w:val="30"/>
        </w:rPr>
        <w:t>秉承“山水林田湖草沙生命共同体”的理念，从生态系统的整体性、系统性考虑，结合绥棱县存在的主要生态问题，推进生态功能区修复，实现全县各类生态系统质量明显改善，生态服务功能显著提高，建立高效、协调的生态保护修复长效机制。</w:t>
      </w:r>
    </w:p>
    <w:p>
      <w:pPr>
        <w:ind w:firstLine="600"/>
        <w:rPr>
          <w:rFonts w:hint="default" w:eastAsia="仿宋" w:cs="Times New Roman"/>
          <w:color w:val="auto"/>
          <w:sz w:val="30"/>
          <w:szCs w:val="30"/>
          <w:highlight w:val="none"/>
          <w:lang w:val="en-US" w:eastAsia="zh-CN"/>
        </w:rPr>
      </w:pPr>
      <w:r>
        <w:rPr>
          <w:rFonts w:hint="eastAsia" w:cs="Times New Roman"/>
          <w:color w:val="auto"/>
          <w:sz w:val="30"/>
          <w:szCs w:val="30"/>
          <w:highlight w:val="none"/>
          <w:lang w:val="en-US" w:eastAsia="zh-CN"/>
        </w:rPr>
        <w:t>根据《绥化市“十四五”生态环境保护规划》，其中生态状况主要指标包括生态质量指数、森林覆盖率、森林蓄积量、生态保护红线面积和湿地保护率。本规划与《绥化市“十四五”生态环境保护规划》充分衔接，并结合绥棱县实际情况，将生态保护红线面积和森林覆盖率作为约束性指标，其他作为预期性指标。</w:t>
      </w:r>
    </w:p>
    <w:p>
      <w:pPr>
        <w:ind w:firstLine="600"/>
        <w:rPr>
          <w:rFonts w:cs="Times New Roman"/>
          <w:color w:val="auto"/>
          <w:sz w:val="30"/>
          <w:szCs w:val="30"/>
        </w:rPr>
      </w:pPr>
      <w:r>
        <w:rPr>
          <w:rFonts w:cs="Times New Roman"/>
          <w:color w:val="auto"/>
          <w:sz w:val="30"/>
          <w:szCs w:val="30"/>
        </w:rPr>
        <w:t>到2025年，通过科学规划、精准实施一批生态保护和修复工程，实现县域</w:t>
      </w:r>
      <w:r>
        <w:rPr>
          <w:rFonts w:hint="eastAsia" w:cs="Times New Roman"/>
          <w:color w:val="auto"/>
          <w:sz w:val="30"/>
          <w:szCs w:val="30"/>
          <w:lang w:val="en-US" w:eastAsia="zh-CN"/>
        </w:rPr>
        <w:t>内黑土地肥力得到有效保护，</w:t>
      </w:r>
      <w:r>
        <w:rPr>
          <w:rFonts w:cs="Times New Roman"/>
          <w:color w:val="auto"/>
          <w:sz w:val="30"/>
          <w:szCs w:val="30"/>
        </w:rPr>
        <w:t>水土流失趋势得到有效控制，水源涵养功能进一步提升，矿山地质环境恢复治理得到全面改善，区域生态系统质量和稳定性有所增强，解决城乡环境问题，从而增进民生福祉，引领绥棱生态建设高质量发展。</w:t>
      </w:r>
    </w:p>
    <w:p>
      <w:pPr>
        <w:ind w:firstLine="560"/>
        <w:rPr>
          <w:rFonts w:cs="Times New Roman"/>
          <w:color w:val="auto"/>
        </w:rPr>
      </w:pPr>
      <w:r>
        <w:rPr>
          <w:rFonts w:cs="Times New Roman"/>
          <w:color w:val="auto"/>
        </w:rPr>
        <w:t>围绕党的十九届五中全会关于“十四五”时期生态文明建设的新目标，立足落实国家重大战略部署和相关规划任务安排，从绥棱县实际的生态系统现状出发，结合绥棱县生态保护和修复需求，以山水林田湖草一体化保护修复为主线，提出生态功能保护修复指标体系，科学提出约束性和预期性指标。指标体系详见表5-1。</w:t>
      </w:r>
    </w:p>
    <w:p>
      <w:pPr>
        <w:ind w:firstLine="0" w:firstLineChars="0"/>
        <w:jc w:val="center"/>
        <w:rPr>
          <w:rFonts w:cs="Times New Roman"/>
          <w:b/>
          <w:bCs/>
          <w:color w:val="auto"/>
        </w:rPr>
      </w:pPr>
      <w:r>
        <w:rPr>
          <w:rFonts w:cs="Times New Roman"/>
          <w:b/>
          <w:bCs/>
          <w:color w:val="auto"/>
        </w:rPr>
        <w:t>表</w:t>
      </w:r>
      <w:r>
        <w:rPr>
          <w:rFonts w:hint="eastAsia" w:cs="Times New Roman"/>
          <w:b/>
          <w:bCs/>
          <w:color w:val="auto"/>
        </w:rPr>
        <w:t>3</w:t>
      </w:r>
      <w:r>
        <w:rPr>
          <w:rFonts w:cs="Times New Roman"/>
          <w:b/>
          <w:bCs/>
          <w:color w:val="auto"/>
        </w:rPr>
        <w:t>-1  绥棱县县域“十四五”生态功能保护修复规划指标体系</w:t>
      </w:r>
    </w:p>
    <w:tbl>
      <w:tblPr>
        <w:tblStyle w:val="16"/>
        <w:tblW w:w="824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31"/>
        <w:gridCol w:w="2488"/>
        <w:gridCol w:w="1184"/>
        <w:gridCol w:w="1350"/>
        <w:gridCol w:w="1291"/>
        <w:gridCol w:w="119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blHeader/>
          <w:jc w:val="center"/>
        </w:trPr>
        <w:tc>
          <w:tcPr>
            <w:tcW w:w="731" w:type="dxa"/>
            <w:noWrap/>
            <w:vAlign w:val="center"/>
          </w:tcPr>
          <w:p>
            <w:pPr>
              <w:pStyle w:val="22"/>
              <w:spacing w:line="360" w:lineRule="auto"/>
              <w:ind w:firstLine="0" w:firstLineChars="0"/>
              <w:jc w:val="center"/>
              <w:rPr>
                <w:rFonts w:ascii="Times New Roman" w:eastAsia="仿宋"/>
                <w:b/>
                <w:color w:val="auto"/>
                <w:sz w:val="24"/>
                <w:szCs w:val="24"/>
              </w:rPr>
            </w:pPr>
            <w:r>
              <w:rPr>
                <w:rFonts w:ascii="Times New Roman" w:eastAsia="仿宋"/>
                <w:b/>
                <w:color w:val="auto"/>
                <w:sz w:val="24"/>
                <w:szCs w:val="24"/>
              </w:rPr>
              <w:t>指标类型</w:t>
            </w:r>
          </w:p>
        </w:tc>
        <w:tc>
          <w:tcPr>
            <w:tcW w:w="2488" w:type="dxa"/>
            <w:noWrap/>
            <w:vAlign w:val="center"/>
          </w:tcPr>
          <w:p>
            <w:pPr>
              <w:pStyle w:val="22"/>
              <w:spacing w:line="360" w:lineRule="auto"/>
              <w:ind w:firstLine="0" w:firstLineChars="0"/>
              <w:jc w:val="center"/>
              <w:rPr>
                <w:rFonts w:ascii="Times New Roman" w:eastAsia="仿宋"/>
                <w:b/>
                <w:color w:val="auto"/>
                <w:sz w:val="24"/>
                <w:szCs w:val="24"/>
              </w:rPr>
            </w:pPr>
            <w:r>
              <w:rPr>
                <w:rFonts w:ascii="Times New Roman" w:eastAsia="仿宋"/>
                <w:b/>
                <w:color w:val="auto"/>
                <w:sz w:val="24"/>
                <w:szCs w:val="24"/>
              </w:rPr>
              <w:t>指标名称</w:t>
            </w:r>
          </w:p>
        </w:tc>
        <w:tc>
          <w:tcPr>
            <w:tcW w:w="1184" w:type="dxa"/>
            <w:noWrap/>
            <w:vAlign w:val="center"/>
          </w:tcPr>
          <w:p>
            <w:pPr>
              <w:pStyle w:val="22"/>
              <w:spacing w:line="360" w:lineRule="auto"/>
              <w:ind w:firstLine="0" w:firstLineChars="0"/>
              <w:jc w:val="center"/>
              <w:rPr>
                <w:rFonts w:ascii="Times New Roman" w:eastAsia="仿宋"/>
                <w:b/>
                <w:color w:val="auto"/>
                <w:sz w:val="24"/>
                <w:szCs w:val="24"/>
              </w:rPr>
            </w:pPr>
            <w:r>
              <w:rPr>
                <w:rFonts w:ascii="Times New Roman" w:eastAsia="仿宋"/>
                <w:b/>
                <w:color w:val="auto"/>
                <w:sz w:val="24"/>
                <w:szCs w:val="24"/>
              </w:rPr>
              <w:t>单位</w:t>
            </w:r>
          </w:p>
        </w:tc>
        <w:tc>
          <w:tcPr>
            <w:tcW w:w="1350" w:type="dxa"/>
            <w:vAlign w:val="center"/>
          </w:tcPr>
          <w:p>
            <w:pPr>
              <w:pStyle w:val="22"/>
              <w:spacing w:line="360" w:lineRule="auto"/>
              <w:ind w:firstLine="0" w:firstLineChars="0"/>
              <w:jc w:val="center"/>
              <w:rPr>
                <w:rFonts w:ascii="Times New Roman" w:eastAsia="仿宋"/>
                <w:b/>
                <w:color w:val="auto"/>
                <w:sz w:val="24"/>
                <w:szCs w:val="24"/>
              </w:rPr>
            </w:pPr>
            <w:r>
              <w:rPr>
                <w:rFonts w:ascii="Times New Roman" w:eastAsia="仿宋"/>
                <w:b/>
                <w:color w:val="auto"/>
                <w:sz w:val="24"/>
                <w:szCs w:val="24"/>
              </w:rPr>
              <w:t>2021年</w:t>
            </w:r>
          </w:p>
        </w:tc>
        <w:tc>
          <w:tcPr>
            <w:tcW w:w="1291" w:type="dxa"/>
            <w:vAlign w:val="center"/>
          </w:tcPr>
          <w:p>
            <w:pPr>
              <w:pStyle w:val="22"/>
              <w:spacing w:line="360" w:lineRule="auto"/>
              <w:ind w:firstLine="0" w:firstLineChars="0"/>
              <w:jc w:val="center"/>
              <w:rPr>
                <w:rFonts w:ascii="Times New Roman" w:eastAsia="仿宋"/>
                <w:b/>
                <w:color w:val="auto"/>
                <w:sz w:val="24"/>
                <w:szCs w:val="24"/>
              </w:rPr>
            </w:pPr>
            <w:r>
              <w:rPr>
                <w:rFonts w:ascii="Times New Roman" w:eastAsia="仿宋"/>
                <w:b/>
                <w:color w:val="auto"/>
                <w:sz w:val="24"/>
                <w:szCs w:val="24"/>
              </w:rPr>
              <w:t>2025年</w:t>
            </w:r>
          </w:p>
        </w:tc>
        <w:tc>
          <w:tcPr>
            <w:tcW w:w="1197" w:type="dxa"/>
            <w:vAlign w:val="center"/>
          </w:tcPr>
          <w:p>
            <w:pPr>
              <w:pStyle w:val="22"/>
              <w:spacing w:line="360" w:lineRule="auto"/>
              <w:ind w:firstLine="0" w:firstLineChars="0"/>
              <w:jc w:val="center"/>
              <w:rPr>
                <w:rFonts w:ascii="Times New Roman" w:eastAsia="仿宋"/>
                <w:b/>
                <w:color w:val="auto"/>
                <w:sz w:val="24"/>
                <w:szCs w:val="24"/>
              </w:rPr>
            </w:pPr>
            <w:r>
              <w:rPr>
                <w:rFonts w:ascii="Times New Roman" w:eastAsia="仿宋"/>
                <w:b/>
                <w:color w:val="auto"/>
                <w:sz w:val="24"/>
                <w:szCs w:val="24"/>
              </w:rPr>
              <w:t>指标属性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1" w:type="dxa"/>
            <w:vMerge w:val="restart"/>
            <w:noWrap/>
            <w:vAlign w:val="center"/>
          </w:tcPr>
          <w:p>
            <w:pPr>
              <w:pStyle w:val="22"/>
              <w:spacing w:line="360" w:lineRule="auto"/>
              <w:ind w:firstLine="0" w:firstLineChars="0"/>
              <w:jc w:val="center"/>
              <w:rPr>
                <w:rFonts w:ascii="Times New Roman" w:eastAsia="仿宋"/>
                <w:color w:val="auto"/>
                <w:sz w:val="24"/>
                <w:szCs w:val="24"/>
              </w:rPr>
            </w:pPr>
            <w:r>
              <w:rPr>
                <w:rFonts w:ascii="Times New Roman" w:eastAsia="仿宋"/>
                <w:color w:val="auto"/>
                <w:sz w:val="24"/>
                <w:szCs w:val="24"/>
              </w:rPr>
              <w:t>生态保护</w:t>
            </w:r>
          </w:p>
        </w:tc>
        <w:tc>
          <w:tcPr>
            <w:tcW w:w="2488" w:type="dxa"/>
            <w:noWrap/>
            <w:vAlign w:val="center"/>
          </w:tcPr>
          <w:p>
            <w:pPr>
              <w:pStyle w:val="22"/>
              <w:spacing w:line="360" w:lineRule="auto"/>
              <w:ind w:firstLine="0" w:firstLineChars="0"/>
              <w:jc w:val="center"/>
              <w:rPr>
                <w:rFonts w:ascii="Times New Roman" w:eastAsia="仿宋"/>
                <w:color w:val="auto"/>
                <w:sz w:val="24"/>
                <w:szCs w:val="24"/>
              </w:rPr>
            </w:pPr>
            <w:r>
              <w:rPr>
                <w:rFonts w:ascii="Times New Roman" w:eastAsia="仿宋"/>
                <w:color w:val="auto"/>
                <w:sz w:val="24"/>
                <w:szCs w:val="24"/>
              </w:rPr>
              <w:t>生态保护红线面积</w:t>
            </w:r>
          </w:p>
        </w:tc>
        <w:tc>
          <w:tcPr>
            <w:tcW w:w="1184" w:type="dxa"/>
            <w:noWrap/>
            <w:vAlign w:val="center"/>
          </w:tcPr>
          <w:p>
            <w:pPr>
              <w:pStyle w:val="22"/>
              <w:spacing w:line="360" w:lineRule="auto"/>
              <w:ind w:firstLine="0" w:firstLineChars="0"/>
              <w:jc w:val="center"/>
              <w:rPr>
                <w:rFonts w:ascii="Times New Roman" w:eastAsia="仿宋"/>
                <w:color w:val="auto"/>
                <w:sz w:val="24"/>
                <w:szCs w:val="24"/>
              </w:rPr>
            </w:pPr>
            <w:r>
              <w:rPr>
                <w:rFonts w:ascii="Times New Roman" w:eastAsia="仿宋"/>
                <w:color w:val="auto"/>
                <w:sz w:val="24"/>
                <w:szCs w:val="24"/>
              </w:rPr>
              <w:t>平方公里</w:t>
            </w:r>
          </w:p>
        </w:tc>
        <w:tc>
          <w:tcPr>
            <w:tcW w:w="1350" w:type="dxa"/>
            <w:vAlign w:val="center"/>
          </w:tcPr>
          <w:p>
            <w:pPr>
              <w:pStyle w:val="22"/>
              <w:spacing w:line="360" w:lineRule="auto"/>
              <w:ind w:firstLine="0" w:firstLineChars="0"/>
              <w:jc w:val="center"/>
              <w:rPr>
                <w:rFonts w:ascii="Times New Roman" w:eastAsia="仿宋"/>
                <w:color w:val="auto"/>
                <w:sz w:val="24"/>
                <w:szCs w:val="24"/>
              </w:rPr>
            </w:pPr>
            <w:r>
              <w:rPr>
                <w:rFonts w:ascii="Times New Roman" w:eastAsia="仿宋"/>
                <w:color w:val="auto"/>
                <w:sz w:val="24"/>
                <w:szCs w:val="24"/>
              </w:rPr>
              <w:t>965.77</w:t>
            </w:r>
          </w:p>
        </w:tc>
        <w:tc>
          <w:tcPr>
            <w:tcW w:w="1291" w:type="dxa"/>
            <w:vAlign w:val="center"/>
          </w:tcPr>
          <w:p>
            <w:pPr>
              <w:pStyle w:val="22"/>
              <w:spacing w:line="360" w:lineRule="auto"/>
              <w:ind w:firstLine="0" w:firstLineChars="0"/>
              <w:jc w:val="center"/>
              <w:rPr>
                <w:rFonts w:ascii="Times New Roman" w:eastAsia="仿宋"/>
                <w:color w:val="auto"/>
                <w:sz w:val="24"/>
                <w:szCs w:val="24"/>
              </w:rPr>
            </w:pPr>
            <w:r>
              <w:rPr>
                <w:rFonts w:ascii="Times New Roman" w:eastAsia="仿宋"/>
                <w:color w:val="auto"/>
                <w:sz w:val="24"/>
                <w:szCs w:val="24"/>
              </w:rPr>
              <w:t>965.77</w:t>
            </w:r>
          </w:p>
        </w:tc>
        <w:tc>
          <w:tcPr>
            <w:tcW w:w="1197" w:type="dxa"/>
            <w:vAlign w:val="center"/>
          </w:tcPr>
          <w:p>
            <w:pPr>
              <w:pStyle w:val="22"/>
              <w:spacing w:line="360" w:lineRule="auto"/>
              <w:ind w:firstLine="0" w:firstLineChars="0"/>
              <w:jc w:val="center"/>
              <w:rPr>
                <w:rFonts w:ascii="Times New Roman" w:eastAsia="仿宋"/>
                <w:color w:val="auto"/>
                <w:sz w:val="24"/>
                <w:szCs w:val="24"/>
              </w:rPr>
            </w:pPr>
            <w:r>
              <w:rPr>
                <w:rFonts w:ascii="Times New Roman" w:eastAsia="仿宋"/>
                <w:color w:val="auto"/>
                <w:sz w:val="24"/>
                <w:szCs w:val="24"/>
              </w:rPr>
              <w:t>约束性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1" w:type="dxa"/>
            <w:vMerge w:val="continue"/>
            <w:noWrap/>
            <w:vAlign w:val="center"/>
          </w:tcPr>
          <w:p>
            <w:pPr>
              <w:pStyle w:val="22"/>
              <w:spacing w:line="360" w:lineRule="auto"/>
              <w:ind w:firstLine="0" w:firstLineChars="0"/>
              <w:jc w:val="center"/>
              <w:rPr>
                <w:rFonts w:ascii="Times New Roman" w:eastAsia="仿宋"/>
                <w:color w:val="auto"/>
                <w:sz w:val="24"/>
                <w:szCs w:val="24"/>
              </w:rPr>
            </w:pPr>
          </w:p>
        </w:tc>
        <w:tc>
          <w:tcPr>
            <w:tcW w:w="2488" w:type="dxa"/>
            <w:noWrap/>
            <w:vAlign w:val="center"/>
          </w:tcPr>
          <w:p>
            <w:pPr>
              <w:pStyle w:val="22"/>
              <w:spacing w:line="360" w:lineRule="auto"/>
              <w:ind w:firstLine="0" w:firstLineChars="0"/>
              <w:jc w:val="center"/>
              <w:rPr>
                <w:rFonts w:ascii="Times New Roman" w:eastAsia="仿宋"/>
                <w:color w:val="auto"/>
                <w:sz w:val="24"/>
                <w:szCs w:val="24"/>
              </w:rPr>
            </w:pPr>
            <w:r>
              <w:rPr>
                <w:rFonts w:hint="eastAsia" w:ascii="Times New Roman" w:eastAsia="仿宋"/>
                <w:color w:val="auto"/>
                <w:sz w:val="24"/>
                <w:szCs w:val="24"/>
              </w:rPr>
              <w:t>耕地保有量</w:t>
            </w:r>
          </w:p>
        </w:tc>
        <w:tc>
          <w:tcPr>
            <w:tcW w:w="1184" w:type="dxa"/>
            <w:noWrap/>
            <w:vAlign w:val="center"/>
          </w:tcPr>
          <w:p>
            <w:pPr>
              <w:pStyle w:val="22"/>
              <w:spacing w:line="360" w:lineRule="auto"/>
              <w:ind w:firstLine="0" w:firstLineChars="0"/>
              <w:jc w:val="center"/>
              <w:rPr>
                <w:rFonts w:ascii="Times New Roman" w:eastAsia="仿宋"/>
                <w:color w:val="auto"/>
                <w:sz w:val="24"/>
                <w:szCs w:val="24"/>
              </w:rPr>
            </w:pPr>
            <w:r>
              <w:rPr>
                <w:rFonts w:ascii="Times New Roman" w:eastAsia="仿宋"/>
                <w:color w:val="auto"/>
                <w:sz w:val="24"/>
                <w:szCs w:val="24"/>
              </w:rPr>
              <w:t>公顷</w:t>
            </w:r>
          </w:p>
        </w:tc>
        <w:tc>
          <w:tcPr>
            <w:tcW w:w="1350" w:type="dxa"/>
            <w:vAlign w:val="center"/>
          </w:tcPr>
          <w:p>
            <w:pPr>
              <w:pStyle w:val="22"/>
              <w:spacing w:line="360" w:lineRule="auto"/>
              <w:ind w:firstLine="0" w:firstLineChars="0"/>
              <w:jc w:val="center"/>
              <w:rPr>
                <w:rFonts w:ascii="Times New Roman" w:eastAsia="仿宋"/>
                <w:color w:val="auto"/>
                <w:sz w:val="24"/>
                <w:szCs w:val="24"/>
              </w:rPr>
            </w:pPr>
            <w:r>
              <w:rPr>
                <w:rFonts w:hint="eastAsia" w:ascii="Times New Roman" w:eastAsia="仿宋"/>
                <w:color w:val="auto"/>
                <w:sz w:val="24"/>
                <w:szCs w:val="24"/>
              </w:rPr>
              <w:t>1638.35</w:t>
            </w:r>
          </w:p>
        </w:tc>
        <w:tc>
          <w:tcPr>
            <w:tcW w:w="1291" w:type="dxa"/>
            <w:vAlign w:val="center"/>
          </w:tcPr>
          <w:p>
            <w:pPr>
              <w:pStyle w:val="22"/>
              <w:spacing w:line="360" w:lineRule="auto"/>
              <w:ind w:firstLine="0" w:firstLineChars="0"/>
              <w:jc w:val="center"/>
              <w:rPr>
                <w:rFonts w:ascii="Times New Roman" w:eastAsia="仿宋"/>
                <w:color w:val="auto"/>
                <w:sz w:val="24"/>
                <w:szCs w:val="24"/>
              </w:rPr>
            </w:pPr>
            <w:r>
              <w:rPr>
                <w:rFonts w:hint="eastAsia" w:ascii="Times New Roman" w:eastAsia="仿宋"/>
                <w:color w:val="auto"/>
                <w:sz w:val="24"/>
                <w:szCs w:val="24"/>
              </w:rPr>
              <w:t>1638.35</w:t>
            </w:r>
          </w:p>
        </w:tc>
        <w:tc>
          <w:tcPr>
            <w:tcW w:w="1197" w:type="dxa"/>
            <w:vAlign w:val="center"/>
          </w:tcPr>
          <w:p>
            <w:pPr>
              <w:pStyle w:val="22"/>
              <w:spacing w:line="360" w:lineRule="auto"/>
              <w:ind w:firstLine="0" w:firstLineChars="0"/>
              <w:jc w:val="center"/>
              <w:rPr>
                <w:rFonts w:ascii="Times New Roman" w:eastAsia="仿宋"/>
                <w:color w:val="auto"/>
                <w:sz w:val="24"/>
                <w:szCs w:val="24"/>
              </w:rPr>
            </w:pPr>
            <w:r>
              <w:rPr>
                <w:rFonts w:ascii="Times New Roman" w:eastAsia="仿宋"/>
                <w:color w:val="auto"/>
                <w:sz w:val="24"/>
                <w:szCs w:val="24"/>
              </w:rPr>
              <w:t>约束性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1" w:type="dxa"/>
            <w:vMerge w:val="continue"/>
            <w:vAlign w:val="center"/>
          </w:tcPr>
          <w:p>
            <w:pPr>
              <w:pStyle w:val="22"/>
              <w:spacing w:line="360" w:lineRule="auto"/>
              <w:ind w:firstLine="0" w:firstLineChars="0"/>
              <w:jc w:val="center"/>
              <w:rPr>
                <w:rFonts w:ascii="Times New Roman" w:eastAsia="仿宋"/>
                <w:color w:val="auto"/>
                <w:sz w:val="24"/>
                <w:szCs w:val="24"/>
              </w:rPr>
            </w:pPr>
          </w:p>
        </w:tc>
        <w:tc>
          <w:tcPr>
            <w:tcW w:w="2488" w:type="dxa"/>
            <w:noWrap/>
            <w:vAlign w:val="center"/>
          </w:tcPr>
          <w:p>
            <w:pPr>
              <w:pStyle w:val="22"/>
              <w:spacing w:line="360" w:lineRule="auto"/>
              <w:ind w:firstLine="0" w:firstLineChars="0"/>
              <w:jc w:val="center"/>
              <w:rPr>
                <w:rFonts w:ascii="Times New Roman" w:eastAsia="仿宋"/>
                <w:color w:val="auto"/>
                <w:sz w:val="24"/>
                <w:szCs w:val="24"/>
              </w:rPr>
            </w:pPr>
            <w:r>
              <w:rPr>
                <w:rFonts w:ascii="Times New Roman" w:eastAsia="仿宋"/>
                <w:color w:val="auto"/>
                <w:sz w:val="24"/>
                <w:szCs w:val="24"/>
              </w:rPr>
              <w:t>森林覆盖率</w:t>
            </w:r>
          </w:p>
        </w:tc>
        <w:tc>
          <w:tcPr>
            <w:tcW w:w="1184" w:type="dxa"/>
            <w:noWrap/>
            <w:vAlign w:val="center"/>
          </w:tcPr>
          <w:p>
            <w:pPr>
              <w:pStyle w:val="22"/>
              <w:spacing w:line="360" w:lineRule="auto"/>
              <w:ind w:firstLine="0" w:firstLineChars="0"/>
              <w:jc w:val="center"/>
              <w:rPr>
                <w:rFonts w:ascii="Times New Roman" w:eastAsia="仿宋"/>
                <w:color w:val="auto"/>
                <w:sz w:val="24"/>
                <w:szCs w:val="24"/>
              </w:rPr>
            </w:pPr>
            <w:r>
              <w:rPr>
                <w:rFonts w:ascii="Times New Roman" w:eastAsia="仿宋"/>
                <w:color w:val="auto"/>
                <w:sz w:val="24"/>
                <w:szCs w:val="24"/>
              </w:rPr>
              <w:t>%</w:t>
            </w:r>
          </w:p>
        </w:tc>
        <w:tc>
          <w:tcPr>
            <w:tcW w:w="1350" w:type="dxa"/>
            <w:vAlign w:val="center"/>
          </w:tcPr>
          <w:p>
            <w:pPr>
              <w:pStyle w:val="22"/>
              <w:spacing w:line="360" w:lineRule="auto"/>
              <w:ind w:firstLine="0" w:firstLineChars="0"/>
              <w:jc w:val="center"/>
              <w:rPr>
                <w:rFonts w:hint="eastAsia" w:ascii="Times New Roman" w:eastAsia="仿宋"/>
                <w:color w:val="auto"/>
                <w:sz w:val="24"/>
                <w:szCs w:val="24"/>
                <w:lang w:eastAsia="zh-CN"/>
              </w:rPr>
            </w:pPr>
            <w:r>
              <w:rPr>
                <w:rFonts w:ascii="Times New Roman" w:eastAsia="仿宋"/>
                <w:color w:val="auto"/>
                <w:sz w:val="24"/>
                <w:szCs w:val="24"/>
              </w:rPr>
              <w:t>50.6</w:t>
            </w:r>
            <w:r>
              <w:rPr>
                <w:rFonts w:hint="eastAsia" w:ascii="Times New Roman" w:eastAsia="仿宋"/>
                <w:color w:val="auto"/>
                <w:sz w:val="24"/>
                <w:szCs w:val="24"/>
                <w:lang w:val="en-US" w:eastAsia="zh-CN"/>
              </w:rPr>
              <w:t>3</w:t>
            </w:r>
          </w:p>
        </w:tc>
        <w:tc>
          <w:tcPr>
            <w:tcW w:w="1291" w:type="dxa"/>
            <w:vAlign w:val="center"/>
          </w:tcPr>
          <w:p>
            <w:pPr>
              <w:pStyle w:val="22"/>
              <w:spacing w:line="360" w:lineRule="auto"/>
              <w:ind w:firstLine="0" w:firstLineChars="0"/>
              <w:jc w:val="center"/>
              <w:rPr>
                <w:rFonts w:hint="default" w:ascii="Times New Roman" w:eastAsia="仿宋"/>
                <w:color w:val="auto"/>
                <w:sz w:val="24"/>
                <w:szCs w:val="24"/>
                <w:lang w:val="en-US" w:eastAsia="zh-CN"/>
              </w:rPr>
            </w:pPr>
            <w:r>
              <w:rPr>
                <w:rFonts w:ascii="Times New Roman" w:eastAsia="仿宋"/>
                <w:color w:val="auto"/>
                <w:sz w:val="24"/>
                <w:szCs w:val="24"/>
              </w:rPr>
              <w:t>50.</w:t>
            </w:r>
            <w:r>
              <w:rPr>
                <w:rFonts w:hint="eastAsia" w:ascii="Times New Roman" w:eastAsia="仿宋"/>
                <w:color w:val="auto"/>
                <w:sz w:val="24"/>
                <w:szCs w:val="24"/>
                <w:lang w:val="en-US" w:eastAsia="zh-CN"/>
              </w:rPr>
              <w:t>85</w:t>
            </w:r>
          </w:p>
        </w:tc>
        <w:tc>
          <w:tcPr>
            <w:tcW w:w="1197" w:type="dxa"/>
            <w:vAlign w:val="center"/>
          </w:tcPr>
          <w:p>
            <w:pPr>
              <w:pStyle w:val="22"/>
              <w:spacing w:line="360" w:lineRule="auto"/>
              <w:ind w:firstLine="0" w:firstLineChars="0"/>
              <w:jc w:val="center"/>
              <w:rPr>
                <w:rFonts w:ascii="Times New Roman" w:eastAsia="仿宋"/>
                <w:color w:val="auto"/>
                <w:sz w:val="24"/>
                <w:szCs w:val="24"/>
              </w:rPr>
            </w:pPr>
            <w:r>
              <w:rPr>
                <w:rFonts w:ascii="Times New Roman" w:eastAsia="仿宋"/>
                <w:color w:val="auto"/>
                <w:sz w:val="24"/>
                <w:szCs w:val="24"/>
              </w:rPr>
              <w:t>约束性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1" w:type="dxa"/>
            <w:vMerge w:val="continue"/>
            <w:vAlign w:val="center"/>
          </w:tcPr>
          <w:p>
            <w:pPr>
              <w:pStyle w:val="22"/>
              <w:spacing w:line="360" w:lineRule="auto"/>
              <w:ind w:firstLine="0" w:firstLineChars="0"/>
              <w:jc w:val="center"/>
              <w:rPr>
                <w:rFonts w:ascii="Times New Roman" w:eastAsia="仿宋"/>
                <w:color w:val="auto"/>
                <w:sz w:val="24"/>
                <w:szCs w:val="24"/>
              </w:rPr>
            </w:pPr>
          </w:p>
        </w:tc>
        <w:tc>
          <w:tcPr>
            <w:tcW w:w="2488" w:type="dxa"/>
            <w:noWrap/>
            <w:vAlign w:val="center"/>
          </w:tcPr>
          <w:p>
            <w:pPr>
              <w:pStyle w:val="22"/>
              <w:spacing w:line="360" w:lineRule="auto"/>
              <w:ind w:firstLine="0" w:firstLineChars="0"/>
              <w:jc w:val="center"/>
              <w:rPr>
                <w:rFonts w:ascii="Times New Roman" w:eastAsia="仿宋"/>
                <w:color w:val="auto"/>
                <w:sz w:val="24"/>
                <w:szCs w:val="24"/>
              </w:rPr>
            </w:pPr>
            <w:r>
              <w:rPr>
                <w:rFonts w:ascii="Times New Roman" w:eastAsia="仿宋"/>
                <w:color w:val="auto"/>
                <w:sz w:val="24"/>
                <w:szCs w:val="24"/>
              </w:rPr>
              <w:t>湿地面积</w:t>
            </w:r>
          </w:p>
        </w:tc>
        <w:tc>
          <w:tcPr>
            <w:tcW w:w="1184" w:type="dxa"/>
            <w:noWrap/>
            <w:vAlign w:val="center"/>
          </w:tcPr>
          <w:p>
            <w:pPr>
              <w:pStyle w:val="22"/>
              <w:spacing w:line="360" w:lineRule="auto"/>
              <w:ind w:firstLine="0" w:firstLineChars="0"/>
              <w:jc w:val="center"/>
              <w:rPr>
                <w:rFonts w:ascii="Times New Roman" w:eastAsia="仿宋"/>
                <w:color w:val="auto"/>
                <w:sz w:val="24"/>
                <w:szCs w:val="24"/>
              </w:rPr>
            </w:pPr>
            <w:r>
              <w:rPr>
                <w:rFonts w:ascii="Times New Roman" w:eastAsia="仿宋"/>
                <w:color w:val="auto"/>
                <w:sz w:val="24"/>
                <w:szCs w:val="24"/>
              </w:rPr>
              <w:t>公顷</w:t>
            </w:r>
          </w:p>
        </w:tc>
        <w:tc>
          <w:tcPr>
            <w:tcW w:w="1350" w:type="dxa"/>
            <w:vAlign w:val="center"/>
          </w:tcPr>
          <w:p>
            <w:pPr>
              <w:pStyle w:val="22"/>
              <w:spacing w:line="360" w:lineRule="auto"/>
              <w:ind w:firstLine="0" w:firstLineChars="0"/>
              <w:jc w:val="center"/>
              <w:rPr>
                <w:rFonts w:hint="default" w:ascii="Times New Roman" w:eastAsia="仿宋"/>
                <w:color w:val="auto"/>
                <w:sz w:val="24"/>
                <w:szCs w:val="24"/>
                <w:lang w:val="en-US" w:eastAsia="zh-CN"/>
              </w:rPr>
            </w:pPr>
            <w:r>
              <w:rPr>
                <w:rFonts w:hint="eastAsia" w:ascii="Times New Roman" w:eastAsia="仿宋"/>
                <w:color w:val="auto"/>
                <w:sz w:val="24"/>
                <w:szCs w:val="24"/>
                <w:lang w:val="en-US" w:eastAsia="zh-CN"/>
              </w:rPr>
              <w:t>8943.32</w:t>
            </w:r>
          </w:p>
        </w:tc>
        <w:tc>
          <w:tcPr>
            <w:tcW w:w="1291" w:type="dxa"/>
            <w:vAlign w:val="center"/>
          </w:tcPr>
          <w:p>
            <w:pPr>
              <w:pStyle w:val="22"/>
              <w:spacing w:line="360" w:lineRule="auto"/>
              <w:ind w:firstLine="0" w:firstLineChars="0"/>
              <w:jc w:val="center"/>
              <w:rPr>
                <w:rFonts w:hint="default" w:ascii="Times New Roman" w:eastAsia="仿宋"/>
                <w:color w:val="auto"/>
                <w:sz w:val="24"/>
                <w:szCs w:val="24"/>
                <w:lang w:val="en-US" w:eastAsia="zh-CN"/>
              </w:rPr>
            </w:pPr>
            <w:r>
              <w:rPr>
                <w:rFonts w:hint="eastAsia" w:ascii="Times New Roman" w:eastAsia="仿宋"/>
                <w:color w:val="auto"/>
                <w:sz w:val="24"/>
                <w:szCs w:val="24"/>
                <w:lang w:val="en-US" w:eastAsia="zh-CN"/>
              </w:rPr>
              <w:t>9582.13</w:t>
            </w:r>
          </w:p>
        </w:tc>
        <w:tc>
          <w:tcPr>
            <w:tcW w:w="1197" w:type="dxa"/>
            <w:vAlign w:val="center"/>
          </w:tcPr>
          <w:p>
            <w:pPr>
              <w:pStyle w:val="22"/>
              <w:spacing w:line="360" w:lineRule="auto"/>
              <w:ind w:firstLine="0" w:firstLineChars="0"/>
              <w:jc w:val="center"/>
              <w:rPr>
                <w:rFonts w:ascii="Times New Roman" w:eastAsia="仿宋"/>
                <w:color w:val="auto"/>
                <w:sz w:val="24"/>
                <w:szCs w:val="24"/>
              </w:rPr>
            </w:pPr>
            <w:r>
              <w:rPr>
                <w:rFonts w:ascii="Times New Roman" w:eastAsia="仿宋"/>
                <w:color w:val="auto"/>
                <w:sz w:val="24"/>
                <w:szCs w:val="24"/>
              </w:rPr>
              <w:t>约束性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1" w:type="dxa"/>
            <w:vMerge w:val="continue"/>
            <w:vAlign w:val="center"/>
          </w:tcPr>
          <w:p>
            <w:pPr>
              <w:pStyle w:val="22"/>
              <w:spacing w:line="360" w:lineRule="auto"/>
              <w:ind w:firstLine="0" w:firstLineChars="0"/>
              <w:jc w:val="center"/>
              <w:rPr>
                <w:rFonts w:ascii="Times New Roman" w:eastAsia="仿宋"/>
                <w:color w:val="auto"/>
                <w:sz w:val="24"/>
                <w:szCs w:val="24"/>
              </w:rPr>
            </w:pPr>
          </w:p>
        </w:tc>
        <w:tc>
          <w:tcPr>
            <w:tcW w:w="2488" w:type="dxa"/>
            <w:noWrap/>
            <w:vAlign w:val="center"/>
          </w:tcPr>
          <w:p>
            <w:pPr>
              <w:pStyle w:val="22"/>
              <w:spacing w:line="360" w:lineRule="auto"/>
              <w:ind w:firstLine="0" w:firstLineChars="0"/>
              <w:jc w:val="center"/>
              <w:rPr>
                <w:rFonts w:hint="default" w:ascii="Times New Roman" w:hAnsi="Times New Roman" w:eastAsia="仿宋" w:cs="Times New Roman"/>
                <w:color w:val="auto"/>
                <w:sz w:val="24"/>
                <w:szCs w:val="24"/>
                <w:lang w:val="en-US" w:eastAsia="zh-CN" w:bidi="ar-SA"/>
              </w:rPr>
            </w:pPr>
            <w:r>
              <w:rPr>
                <w:rFonts w:hint="eastAsia" w:ascii="Times New Roman" w:eastAsia="仿宋"/>
                <w:color w:val="auto"/>
                <w:sz w:val="24"/>
                <w:szCs w:val="24"/>
                <w:lang w:val="en-US" w:eastAsia="zh-CN"/>
              </w:rPr>
              <w:t>黑土地保护面积</w:t>
            </w:r>
          </w:p>
        </w:tc>
        <w:tc>
          <w:tcPr>
            <w:tcW w:w="1184" w:type="dxa"/>
            <w:noWrap/>
            <w:vAlign w:val="center"/>
          </w:tcPr>
          <w:p>
            <w:pPr>
              <w:pStyle w:val="22"/>
              <w:spacing w:line="360" w:lineRule="auto"/>
              <w:ind w:firstLine="0" w:firstLineChars="0"/>
              <w:jc w:val="center"/>
              <w:rPr>
                <w:rFonts w:ascii="Times New Roman" w:hAnsi="Times New Roman" w:eastAsia="仿宋" w:cs="Times New Roman"/>
                <w:color w:val="auto"/>
                <w:sz w:val="24"/>
                <w:szCs w:val="24"/>
                <w:lang w:val="en-US" w:eastAsia="zh-CN" w:bidi="ar-SA"/>
              </w:rPr>
            </w:pPr>
            <w:r>
              <w:rPr>
                <w:rFonts w:hint="eastAsia" w:ascii="Times New Roman" w:eastAsia="仿宋"/>
                <w:color w:val="auto"/>
                <w:sz w:val="24"/>
                <w:szCs w:val="24"/>
                <w:lang w:val="en-US" w:eastAsia="zh-CN"/>
              </w:rPr>
              <w:t>万亩</w:t>
            </w:r>
          </w:p>
        </w:tc>
        <w:tc>
          <w:tcPr>
            <w:tcW w:w="1350" w:type="dxa"/>
            <w:vAlign w:val="center"/>
          </w:tcPr>
          <w:p>
            <w:pPr>
              <w:pStyle w:val="22"/>
              <w:spacing w:line="360" w:lineRule="auto"/>
              <w:ind w:firstLine="0" w:firstLineChars="0"/>
              <w:jc w:val="center"/>
              <w:rPr>
                <w:rFonts w:hint="default" w:ascii="Times New Roman" w:hAnsi="Times New Roman" w:eastAsia="仿宋" w:cs="Times New Roman"/>
                <w:color w:val="auto"/>
                <w:sz w:val="24"/>
                <w:szCs w:val="24"/>
                <w:lang w:val="en-US" w:eastAsia="zh-CN" w:bidi="ar-SA"/>
              </w:rPr>
            </w:pPr>
            <w:r>
              <w:rPr>
                <w:rFonts w:hint="eastAsia" w:ascii="Times New Roman" w:eastAsia="仿宋"/>
                <w:color w:val="auto"/>
                <w:sz w:val="24"/>
                <w:szCs w:val="24"/>
                <w:lang w:val="en-US" w:eastAsia="zh-CN"/>
              </w:rPr>
              <w:t>20</w:t>
            </w:r>
          </w:p>
        </w:tc>
        <w:tc>
          <w:tcPr>
            <w:tcW w:w="1291" w:type="dxa"/>
            <w:vAlign w:val="center"/>
          </w:tcPr>
          <w:p>
            <w:pPr>
              <w:pStyle w:val="22"/>
              <w:spacing w:line="360" w:lineRule="auto"/>
              <w:ind w:firstLine="0" w:firstLineChars="0"/>
              <w:jc w:val="center"/>
              <w:rPr>
                <w:rFonts w:hint="default" w:ascii="Times New Roman" w:hAnsi="Times New Roman" w:eastAsia="仿宋" w:cs="Times New Roman"/>
                <w:color w:val="auto"/>
                <w:sz w:val="24"/>
                <w:szCs w:val="24"/>
                <w:lang w:val="en-US" w:eastAsia="zh-CN" w:bidi="ar-SA"/>
              </w:rPr>
            </w:pPr>
            <w:r>
              <w:rPr>
                <w:rFonts w:hint="eastAsia" w:ascii="Times New Roman" w:eastAsia="仿宋"/>
                <w:color w:val="auto"/>
                <w:sz w:val="24"/>
                <w:szCs w:val="24"/>
                <w:lang w:val="en-US" w:eastAsia="zh-CN"/>
              </w:rPr>
              <w:t>20</w:t>
            </w:r>
          </w:p>
        </w:tc>
        <w:tc>
          <w:tcPr>
            <w:tcW w:w="1197" w:type="dxa"/>
            <w:vAlign w:val="center"/>
          </w:tcPr>
          <w:p>
            <w:pPr>
              <w:pStyle w:val="22"/>
              <w:spacing w:line="360" w:lineRule="auto"/>
              <w:ind w:firstLine="0" w:firstLineChars="0"/>
              <w:jc w:val="center"/>
              <w:rPr>
                <w:rFonts w:ascii="Times New Roman" w:hAnsi="Times New Roman" w:eastAsia="仿宋" w:cs="Times New Roman"/>
                <w:color w:val="auto"/>
                <w:sz w:val="24"/>
                <w:szCs w:val="24"/>
                <w:lang w:val="en-US" w:eastAsia="zh-CN" w:bidi="ar-SA"/>
              </w:rPr>
            </w:pPr>
            <w:r>
              <w:rPr>
                <w:rFonts w:ascii="Times New Roman" w:eastAsia="仿宋"/>
                <w:color w:val="auto"/>
                <w:sz w:val="24"/>
                <w:szCs w:val="24"/>
              </w:rPr>
              <w:t>约束性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731" w:type="dxa"/>
            <w:vMerge w:val="restart"/>
            <w:noWrap/>
            <w:vAlign w:val="center"/>
          </w:tcPr>
          <w:p>
            <w:pPr>
              <w:pStyle w:val="22"/>
              <w:spacing w:line="360" w:lineRule="auto"/>
              <w:ind w:firstLine="0" w:firstLineChars="0"/>
              <w:jc w:val="center"/>
              <w:rPr>
                <w:rFonts w:ascii="Times New Roman" w:eastAsia="仿宋"/>
                <w:color w:val="auto"/>
                <w:sz w:val="24"/>
                <w:szCs w:val="24"/>
              </w:rPr>
            </w:pPr>
            <w:r>
              <w:rPr>
                <w:rFonts w:ascii="Times New Roman" w:eastAsia="仿宋"/>
                <w:color w:val="auto"/>
                <w:sz w:val="24"/>
                <w:szCs w:val="24"/>
              </w:rPr>
              <w:t>生态修复</w:t>
            </w:r>
          </w:p>
        </w:tc>
        <w:tc>
          <w:tcPr>
            <w:tcW w:w="2488" w:type="dxa"/>
            <w:noWrap/>
            <w:vAlign w:val="center"/>
          </w:tcPr>
          <w:p>
            <w:pPr>
              <w:pStyle w:val="22"/>
              <w:spacing w:line="360" w:lineRule="auto"/>
              <w:ind w:firstLine="0" w:firstLineChars="0"/>
              <w:jc w:val="center"/>
              <w:rPr>
                <w:rFonts w:ascii="Times New Roman" w:eastAsia="仿宋"/>
                <w:color w:val="auto"/>
                <w:sz w:val="24"/>
                <w:szCs w:val="24"/>
              </w:rPr>
            </w:pPr>
            <w:r>
              <w:rPr>
                <w:rFonts w:hint="eastAsia" w:ascii="Times New Roman" w:eastAsia="仿宋"/>
                <w:color w:val="auto"/>
                <w:sz w:val="24"/>
                <w:szCs w:val="24"/>
              </w:rPr>
              <w:t>林地覆盖面积</w:t>
            </w:r>
          </w:p>
        </w:tc>
        <w:tc>
          <w:tcPr>
            <w:tcW w:w="1184" w:type="dxa"/>
            <w:noWrap/>
            <w:vAlign w:val="center"/>
          </w:tcPr>
          <w:p>
            <w:pPr>
              <w:pStyle w:val="22"/>
              <w:spacing w:line="360" w:lineRule="auto"/>
              <w:ind w:firstLine="0" w:firstLineChars="0"/>
              <w:jc w:val="center"/>
              <w:rPr>
                <w:rFonts w:ascii="Times New Roman" w:eastAsia="仿宋"/>
                <w:color w:val="auto"/>
                <w:sz w:val="24"/>
                <w:szCs w:val="24"/>
              </w:rPr>
            </w:pPr>
            <w:r>
              <w:rPr>
                <w:rFonts w:ascii="Times New Roman" w:eastAsia="仿宋"/>
                <w:color w:val="auto"/>
                <w:sz w:val="24"/>
                <w:szCs w:val="24"/>
              </w:rPr>
              <w:t>公顷</w:t>
            </w:r>
          </w:p>
        </w:tc>
        <w:tc>
          <w:tcPr>
            <w:tcW w:w="1350" w:type="dxa"/>
            <w:vAlign w:val="center"/>
          </w:tcPr>
          <w:p>
            <w:pPr>
              <w:pStyle w:val="22"/>
              <w:spacing w:line="360" w:lineRule="auto"/>
              <w:ind w:firstLine="0" w:firstLineChars="0"/>
              <w:jc w:val="center"/>
              <w:rPr>
                <w:rFonts w:ascii="Times New Roman" w:eastAsia="仿宋"/>
                <w:color w:val="auto"/>
                <w:sz w:val="24"/>
                <w:szCs w:val="24"/>
              </w:rPr>
            </w:pPr>
            <w:r>
              <w:rPr>
                <w:rFonts w:hint="eastAsia" w:ascii="Times New Roman" w:eastAsia="仿宋"/>
                <w:color w:val="auto"/>
                <w:sz w:val="24"/>
                <w:szCs w:val="24"/>
              </w:rPr>
              <w:t>218404.26</w:t>
            </w:r>
          </w:p>
        </w:tc>
        <w:tc>
          <w:tcPr>
            <w:tcW w:w="1291" w:type="dxa"/>
            <w:vAlign w:val="center"/>
          </w:tcPr>
          <w:p>
            <w:pPr>
              <w:pStyle w:val="22"/>
              <w:spacing w:line="360" w:lineRule="auto"/>
              <w:ind w:firstLine="0" w:firstLineChars="0"/>
              <w:jc w:val="center"/>
              <w:rPr>
                <w:rFonts w:ascii="Times New Roman" w:eastAsia="仿宋"/>
                <w:color w:val="auto"/>
                <w:sz w:val="24"/>
                <w:szCs w:val="24"/>
              </w:rPr>
            </w:pPr>
            <w:r>
              <w:rPr>
                <w:rFonts w:hint="eastAsia" w:ascii="Times New Roman" w:eastAsia="仿宋"/>
                <w:color w:val="auto"/>
                <w:sz w:val="24"/>
                <w:szCs w:val="24"/>
              </w:rPr>
              <w:t>219293</w:t>
            </w:r>
          </w:p>
        </w:tc>
        <w:tc>
          <w:tcPr>
            <w:tcW w:w="1197" w:type="dxa"/>
            <w:vAlign w:val="center"/>
          </w:tcPr>
          <w:p>
            <w:pPr>
              <w:pStyle w:val="22"/>
              <w:spacing w:line="360" w:lineRule="auto"/>
              <w:ind w:firstLine="0" w:firstLineChars="0"/>
              <w:jc w:val="center"/>
              <w:rPr>
                <w:rFonts w:ascii="Times New Roman" w:eastAsia="仿宋"/>
                <w:color w:val="auto"/>
                <w:sz w:val="24"/>
                <w:szCs w:val="24"/>
              </w:rPr>
            </w:pPr>
            <w:r>
              <w:rPr>
                <w:rFonts w:ascii="Times New Roman" w:eastAsia="仿宋"/>
                <w:color w:val="auto"/>
                <w:sz w:val="24"/>
                <w:szCs w:val="24"/>
              </w:rPr>
              <w:t>预期性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1" w:type="dxa"/>
            <w:vMerge w:val="continue"/>
            <w:vAlign w:val="center"/>
          </w:tcPr>
          <w:p>
            <w:pPr>
              <w:pStyle w:val="22"/>
              <w:spacing w:line="360" w:lineRule="auto"/>
              <w:ind w:firstLine="0" w:firstLineChars="0"/>
              <w:jc w:val="center"/>
              <w:rPr>
                <w:rFonts w:ascii="Times New Roman" w:eastAsia="仿宋"/>
                <w:color w:val="auto"/>
                <w:sz w:val="24"/>
                <w:szCs w:val="24"/>
              </w:rPr>
            </w:pPr>
          </w:p>
        </w:tc>
        <w:tc>
          <w:tcPr>
            <w:tcW w:w="2488" w:type="dxa"/>
            <w:noWrap/>
            <w:vAlign w:val="center"/>
          </w:tcPr>
          <w:p>
            <w:pPr>
              <w:pStyle w:val="22"/>
              <w:spacing w:line="360" w:lineRule="auto"/>
              <w:ind w:firstLine="0" w:firstLineChars="0"/>
              <w:jc w:val="center"/>
              <w:rPr>
                <w:rFonts w:ascii="Times New Roman" w:eastAsia="仿宋"/>
                <w:color w:val="auto"/>
                <w:sz w:val="24"/>
                <w:szCs w:val="24"/>
              </w:rPr>
            </w:pPr>
            <w:r>
              <w:rPr>
                <w:rFonts w:hint="eastAsia" w:ascii="Times New Roman" w:eastAsia="仿宋"/>
                <w:color w:val="auto"/>
                <w:sz w:val="24"/>
                <w:szCs w:val="24"/>
              </w:rPr>
              <w:t>水源涵养量</w:t>
            </w:r>
          </w:p>
        </w:tc>
        <w:tc>
          <w:tcPr>
            <w:tcW w:w="1184" w:type="dxa"/>
            <w:noWrap/>
            <w:vAlign w:val="center"/>
          </w:tcPr>
          <w:p>
            <w:pPr>
              <w:pStyle w:val="22"/>
              <w:spacing w:line="360" w:lineRule="auto"/>
              <w:ind w:firstLine="0" w:firstLineChars="0"/>
              <w:jc w:val="center"/>
              <w:rPr>
                <w:rFonts w:ascii="Times New Roman" w:eastAsia="仿宋"/>
                <w:color w:val="auto"/>
                <w:sz w:val="24"/>
                <w:szCs w:val="24"/>
              </w:rPr>
            </w:pPr>
            <w:r>
              <w:rPr>
                <w:rFonts w:hint="eastAsia" w:ascii="Times New Roman" w:eastAsia="仿宋"/>
                <w:color w:val="auto"/>
                <w:sz w:val="24"/>
                <w:szCs w:val="24"/>
              </w:rPr>
              <w:t>万立方米</w:t>
            </w:r>
          </w:p>
        </w:tc>
        <w:tc>
          <w:tcPr>
            <w:tcW w:w="1350" w:type="dxa"/>
            <w:vAlign w:val="center"/>
          </w:tcPr>
          <w:p>
            <w:pPr>
              <w:pStyle w:val="22"/>
              <w:spacing w:line="360" w:lineRule="auto"/>
              <w:ind w:firstLine="0" w:firstLineChars="0"/>
              <w:jc w:val="center"/>
              <w:rPr>
                <w:rFonts w:ascii="Times New Roman" w:eastAsia="仿宋"/>
                <w:color w:val="auto"/>
                <w:sz w:val="24"/>
                <w:szCs w:val="24"/>
              </w:rPr>
            </w:pPr>
            <w:r>
              <w:rPr>
                <w:rFonts w:hint="eastAsia" w:ascii="Times New Roman" w:eastAsia="仿宋"/>
                <w:color w:val="auto"/>
                <w:sz w:val="24"/>
                <w:szCs w:val="24"/>
              </w:rPr>
              <w:t>1663.33</w:t>
            </w:r>
          </w:p>
        </w:tc>
        <w:tc>
          <w:tcPr>
            <w:tcW w:w="1291" w:type="dxa"/>
            <w:vAlign w:val="center"/>
          </w:tcPr>
          <w:p>
            <w:pPr>
              <w:pStyle w:val="22"/>
              <w:spacing w:line="360" w:lineRule="auto"/>
              <w:ind w:firstLine="0" w:firstLineChars="0"/>
              <w:jc w:val="center"/>
              <w:rPr>
                <w:rFonts w:ascii="Times New Roman" w:eastAsia="仿宋"/>
                <w:color w:val="auto"/>
                <w:sz w:val="24"/>
                <w:szCs w:val="24"/>
              </w:rPr>
            </w:pPr>
            <w:r>
              <w:rPr>
                <w:rFonts w:hint="eastAsia" w:ascii="Times New Roman" w:eastAsia="仿宋"/>
                <w:color w:val="auto"/>
                <w:sz w:val="24"/>
                <w:szCs w:val="24"/>
              </w:rPr>
              <w:t>1666.76</w:t>
            </w:r>
          </w:p>
        </w:tc>
        <w:tc>
          <w:tcPr>
            <w:tcW w:w="1197" w:type="dxa"/>
            <w:vAlign w:val="center"/>
          </w:tcPr>
          <w:p>
            <w:pPr>
              <w:pStyle w:val="22"/>
              <w:spacing w:line="360" w:lineRule="auto"/>
              <w:ind w:firstLine="0" w:firstLineChars="0"/>
              <w:jc w:val="center"/>
              <w:rPr>
                <w:rFonts w:ascii="Times New Roman" w:eastAsia="仿宋"/>
                <w:color w:val="auto"/>
                <w:sz w:val="24"/>
                <w:szCs w:val="24"/>
              </w:rPr>
            </w:pPr>
            <w:r>
              <w:rPr>
                <w:rFonts w:ascii="Times New Roman" w:eastAsia="仿宋"/>
                <w:color w:val="auto"/>
                <w:sz w:val="24"/>
                <w:szCs w:val="24"/>
              </w:rPr>
              <w:t>预期性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1" w:type="dxa"/>
            <w:vMerge w:val="continue"/>
            <w:vAlign w:val="center"/>
          </w:tcPr>
          <w:p>
            <w:pPr>
              <w:pStyle w:val="22"/>
              <w:spacing w:line="360" w:lineRule="auto"/>
              <w:ind w:firstLine="0" w:firstLineChars="0"/>
              <w:jc w:val="center"/>
              <w:rPr>
                <w:rFonts w:ascii="Times New Roman" w:eastAsia="仿宋"/>
                <w:color w:val="auto"/>
                <w:sz w:val="24"/>
                <w:szCs w:val="24"/>
              </w:rPr>
            </w:pPr>
          </w:p>
        </w:tc>
        <w:tc>
          <w:tcPr>
            <w:tcW w:w="2488" w:type="dxa"/>
            <w:noWrap/>
            <w:vAlign w:val="center"/>
          </w:tcPr>
          <w:p>
            <w:pPr>
              <w:pStyle w:val="22"/>
              <w:spacing w:line="360" w:lineRule="auto"/>
              <w:ind w:firstLine="0" w:firstLineChars="0"/>
              <w:jc w:val="center"/>
              <w:rPr>
                <w:rFonts w:ascii="Times New Roman" w:eastAsia="仿宋"/>
                <w:color w:val="auto"/>
                <w:sz w:val="24"/>
                <w:szCs w:val="24"/>
              </w:rPr>
            </w:pPr>
            <w:r>
              <w:rPr>
                <w:rFonts w:hint="eastAsia" w:ascii="Times New Roman" w:eastAsia="仿宋"/>
                <w:color w:val="auto"/>
                <w:sz w:val="24"/>
                <w:szCs w:val="24"/>
              </w:rPr>
              <w:t>土壤保持量</w:t>
            </w:r>
          </w:p>
        </w:tc>
        <w:tc>
          <w:tcPr>
            <w:tcW w:w="1184" w:type="dxa"/>
            <w:noWrap/>
            <w:vAlign w:val="center"/>
          </w:tcPr>
          <w:p>
            <w:pPr>
              <w:pStyle w:val="22"/>
              <w:spacing w:line="360" w:lineRule="auto"/>
              <w:ind w:firstLine="0" w:firstLineChars="0"/>
              <w:jc w:val="center"/>
              <w:rPr>
                <w:rFonts w:ascii="Times New Roman" w:eastAsia="仿宋"/>
                <w:color w:val="auto"/>
                <w:sz w:val="24"/>
                <w:szCs w:val="24"/>
              </w:rPr>
            </w:pPr>
            <w:r>
              <w:rPr>
                <w:rFonts w:hint="eastAsia" w:ascii="Times New Roman" w:eastAsia="仿宋"/>
                <w:color w:val="auto"/>
                <w:sz w:val="24"/>
                <w:szCs w:val="24"/>
              </w:rPr>
              <w:t>吨</w:t>
            </w:r>
          </w:p>
        </w:tc>
        <w:tc>
          <w:tcPr>
            <w:tcW w:w="1350" w:type="dxa"/>
            <w:vAlign w:val="center"/>
          </w:tcPr>
          <w:p>
            <w:pPr>
              <w:pStyle w:val="22"/>
              <w:spacing w:line="360" w:lineRule="auto"/>
              <w:ind w:firstLine="0" w:firstLineChars="0"/>
              <w:jc w:val="center"/>
              <w:rPr>
                <w:rFonts w:ascii="Times New Roman" w:eastAsia="仿宋"/>
                <w:color w:val="auto"/>
                <w:sz w:val="24"/>
                <w:szCs w:val="24"/>
              </w:rPr>
            </w:pPr>
            <w:r>
              <w:rPr>
                <w:rFonts w:hint="eastAsia" w:ascii="Times New Roman" w:eastAsia="仿宋"/>
                <w:color w:val="auto"/>
                <w:sz w:val="24"/>
                <w:szCs w:val="24"/>
              </w:rPr>
              <w:t>120372.89</w:t>
            </w:r>
          </w:p>
        </w:tc>
        <w:tc>
          <w:tcPr>
            <w:tcW w:w="1291" w:type="dxa"/>
            <w:vAlign w:val="center"/>
          </w:tcPr>
          <w:p>
            <w:pPr>
              <w:pStyle w:val="22"/>
              <w:spacing w:line="360" w:lineRule="auto"/>
              <w:ind w:firstLine="0" w:firstLineChars="0"/>
              <w:jc w:val="center"/>
              <w:rPr>
                <w:rFonts w:ascii="Times New Roman" w:eastAsia="仿宋"/>
                <w:color w:val="auto"/>
                <w:sz w:val="24"/>
                <w:szCs w:val="24"/>
              </w:rPr>
            </w:pPr>
            <w:r>
              <w:rPr>
                <w:rFonts w:hint="eastAsia" w:ascii="Times New Roman" w:eastAsia="仿宋"/>
                <w:color w:val="auto"/>
                <w:sz w:val="24"/>
                <w:szCs w:val="24"/>
              </w:rPr>
              <w:t>120781.71</w:t>
            </w:r>
          </w:p>
        </w:tc>
        <w:tc>
          <w:tcPr>
            <w:tcW w:w="1197" w:type="dxa"/>
            <w:vAlign w:val="center"/>
          </w:tcPr>
          <w:p>
            <w:pPr>
              <w:pStyle w:val="22"/>
              <w:spacing w:line="360" w:lineRule="auto"/>
              <w:ind w:firstLine="0" w:firstLineChars="0"/>
              <w:jc w:val="center"/>
              <w:rPr>
                <w:rFonts w:ascii="Times New Roman" w:eastAsia="仿宋"/>
                <w:color w:val="auto"/>
                <w:sz w:val="24"/>
                <w:szCs w:val="24"/>
              </w:rPr>
            </w:pPr>
            <w:r>
              <w:rPr>
                <w:rFonts w:ascii="Times New Roman" w:eastAsia="仿宋"/>
                <w:color w:val="auto"/>
                <w:sz w:val="24"/>
                <w:szCs w:val="24"/>
              </w:rPr>
              <w:t>预期性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1" w:type="dxa"/>
            <w:vMerge w:val="continue"/>
            <w:vAlign w:val="center"/>
          </w:tcPr>
          <w:p>
            <w:pPr>
              <w:pStyle w:val="22"/>
              <w:spacing w:line="360" w:lineRule="auto"/>
              <w:ind w:firstLine="0" w:firstLineChars="0"/>
              <w:jc w:val="center"/>
              <w:rPr>
                <w:rFonts w:ascii="Times New Roman" w:eastAsia="仿宋"/>
                <w:color w:val="auto"/>
                <w:sz w:val="24"/>
                <w:szCs w:val="24"/>
              </w:rPr>
            </w:pPr>
          </w:p>
        </w:tc>
        <w:tc>
          <w:tcPr>
            <w:tcW w:w="2488" w:type="dxa"/>
            <w:noWrap/>
            <w:vAlign w:val="center"/>
          </w:tcPr>
          <w:p>
            <w:pPr>
              <w:pStyle w:val="22"/>
              <w:spacing w:line="360" w:lineRule="auto"/>
              <w:ind w:firstLine="0" w:firstLineChars="0"/>
              <w:jc w:val="center"/>
              <w:rPr>
                <w:rFonts w:ascii="Times New Roman" w:eastAsia="仿宋"/>
                <w:color w:val="auto"/>
                <w:sz w:val="24"/>
                <w:szCs w:val="24"/>
              </w:rPr>
            </w:pPr>
            <w:r>
              <w:rPr>
                <w:rFonts w:ascii="Times New Roman" w:eastAsia="仿宋"/>
                <w:color w:val="auto"/>
                <w:sz w:val="24"/>
                <w:szCs w:val="24"/>
              </w:rPr>
              <w:t>水土流失治理面积</w:t>
            </w:r>
          </w:p>
        </w:tc>
        <w:tc>
          <w:tcPr>
            <w:tcW w:w="1184" w:type="dxa"/>
            <w:noWrap/>
            <w:vAlign w:val="center"/>
          </w:tcPr>
          <w:p>
            <w:pPr>
              <w:pStyle w:val="22"/>
              <w:spacing w:line="360" w:lineRule="auto"/>
              <w:ind w:firstLine="0" w:firstLineChars="0"/>
              <w:jc w:val="center"/>
              <w:rPr>
                <w:rFonts w:ascii="Times New Roman" w:eastAsia="仿宋"/>
                <w:color w:val="auto"/>
                <w:sz w:val="24"/>
                <w:szCs w:val="24"/>
              </w:rPr>
            </w:pPr>
            <w:r>
              <w:rPr>
                <w:rFonts w:ascii="Times New Roman" w:eastAsia="仿宋"/>
                <w:color w:val="auto"/>
                <w:sz w:val="24"/>
                <w:szCs w:val="24"/>
              </w:rPr>
              <w:t>公顷</w:t>
            </w:r>
          </w:p>
        </w:tc>
        <w:tc>
          <w:tcPr>
            <w:tcW w:w="1350" w:type="dxa"/>
            <w:vAlign w:val="center"/>
          </w:tcPr>
          <w:p>
            <w:pPr>
              <w:pStyle w:val="22"/>
              <w:spacing w:line="360" w:lineRule="auto"/>
              <w:ind w:firstLine="0" w:firstLineChars="0"/>
              <w:jc w:val="center"/>
              <w:rPr>
                <w:rFonts w:hint="default" w:ascii="Times New Roman" w:eastAsia="仿宋"/>
                <w:color w:val="auto"/>
                <w:sz w:val="24"/>
                <w:szCs w:val="24"/>
                <w:lang w:val="en-US" w:eastAsia="zh-CN"/>
              </w:rPr>
            </w:pPr>
            <w:r>
              <w:rPr>
                <w:rFonts w:hint="eastAsia" w:ascii="Times New Roman" w:eastAsia="仿宋"/>
                <w:color w:val="auto"/>
                <w:sz w:val="24"/>
                <w:szCs w:val="24"/>
                <w:lang w:val="en-US" w:eastAsia="zh-CN"/>
              </w:rPr>
              <w:t>24760</w:t>
            </w:r>
          </w:p>
        </w:tc>
        <w:tc>
          <w:tcPr>
            <w:tcW w:w="1291" w:type="dxa"/>
            <w:vAlign w:val="center"/>
          </w:tcPr>
          <w:p>
            <w:pPr>
              <w:pStyle w:val="22"/>
              <w:spacing w:line="360" w:lineRule="auto"/>
              <w:ind w:firstLine="0" w:firstLineChars="0"/>
              <w:jc w:val="center"/>
              <w:rPr>
                <w:rFonts w:hint="default" w:ascii="Times New Roman" w:eastAsia="仿宋"/>
                <w:color w:val="auto"/>
                <w:sz w:val="24"/>
                <w:szCs w:val="24"/>
                <w:lang w:val="en-US" w:eastAsia="zh-CN"/>
              </w:rPr>
            </w:pPr>
            <w:r>
              <w:rPr>
                <w:rFonts w:hint="eastAsia" w:ascii="Times New Roman" w:eastAsia="仿宋"/>
                <w:color w:val="auto"/>
                <w:sz w:val="24"/>
                <w:szCs w:val="24"/>
                <w:lang w:val="en-US" w:eastAsia="zh-CN"/>
              </w:rPr>
              <w:t>25082.56</w:t>
            </w:r>
          </w:p>
        </w:tc>
        <w:tc>
          <w:tcPr>
            <w:tcW w:w="1197" w:type="dxa"/>
            <w:vAlign w:val="center"/>
          </w:tcPr>
          <w:p>
            <w:pPr>
              <w:pStyle w:val="22"/>
              <w:spacing w:line="360" w:lineRule="auto"/>
              <w:ind w:firstLine="0" w:firstLineChars="0"/>
              <w:jc w:val="center"/>
              <w:rPr>
                <w:rFonts w:ascii="Times New Roman" w:eastAsia="仿宋"/>
                <w:color w:val="auto"/>
                <w:sz w:val="24"/>
                <w:szCs w:val="24"/>
              </w:rPr>
            </w:pPr>
            <w:r>
              <w:rPr>
                <w:rFonts w:ascii="Times New Roman" w:eastAsia="仿宋"/>
                <w:color w:val="auto"/>
                <w:sz w:val="24"/>
                <w:szCs w:val="24"/>
              </w:rPr>
              <w:t>预期性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1" w:type="dxa"/>
            <w:vMerge w:val="continue"/>
            <w:vAlign w:val="center"/>
          </w:tcPr>
          <w:p>
            <w:pPr>
              <w:pStyle w:val="22"/>
              <w:spacing w:line="360" w:lineRule="auto"/>
              <w:ind w:firstLine="0" w:firstLineChars="0"/>
              <w:jc w:val="center"/>
              <w:rPr>
                <w:rFonts w:ascii="Times New Roman" w:eastAsia="仿宋"/>
                <w:color w:val="auto"/>
                <w:sz w:val="24"/>
                <w:szCs w:val="24"/>
              </w:rPr>
            </w:pPr>
          </w:p>
        </w:tc>
        <w:tc>
          <w:tcPr>
            <w:tcW w:w="2488" w:type="dxa"/>
            <w:noWrap/>
            <w:vAlign w:val="center"/>
          </w:tcPr>
          <w:p>
            <w:pPr>
              <w:pStyle w:val="22"/>
              <w:spacing w:line="360" w:lineRule="auto"/>
              <w:ind w:firstLine="0" w:firstLineChars="0"/>
              <w:jc w:val="center"/>
              <w:rPr>
                <w:rFonts w:ascii="Times New Roman" w:eastAsia="仿宋"/>
                <w:color w:val="auto"/>
                <w:sz w:val="24"/>
                <w:szCs w:val="24"/>
              </w:rPr>
            </w:pPr>
            <w:r>
              <w:rPr>
                <w:rFonts w:ascii="Times New Roman" w:eastAsia="仿宋"/>
                <w:color w:val="auto"/>
                <w:sz w:val="24"/>
                <w:szCs w:val="24"/>
              </w:rPr>
              <w:t>高标准农田建设面积</w:t>
            </w:r>
          </w:p>
        </w:tc>
        <w:tc>
          <w:tcPr>
            <w:tcW w:w="1184" w:type="dxa"/>
            <w:noWrap/>
            <w:vAlign w:val="center"/>
          </w:tcPr>
          <w:p>
            <w:pPr>
              <w:pStyle w:val="22"/>
              <w:spacing w:line="360" w:lineRule="auto"/>
              <w:ind w:firstLine="0" w:firstLineChars="0"/>
              <w:jc w:val="center"/>
              <w:rPr>
                <w:rFonts w:ascii="Times New Roman" w:eastAsia="仿宋"/>
                <w:color w:val="auto"/>
                <w:sz w:val="24"/>
                <w:szCs w:val="24"/>
              </w:rPr>
            </w:pPr>
            <w:r>
              <w:rPr>
                <w:rFonts w:ascii="Times New Roman" w:eastAsia="仿宋"/>
                <w:color w:val="auto"/>
                <w:sz w:val="24"/>
                <w:szCs w:val="24"/>
              </w:rPr>
              <w:t>公顷</w:t>
            </w:r>
          </w:p>
        </w:tc>
        <w:tc>
          <w:tcPr>
            <w:tcW w:w="1350" w:type="dxa"/>
            <w:vAlign w:val="center"/>
          </w:tcPr>
          <w:p>
            <w:pPr>
              <w:pStyle w:val="22"/>
              <w:spacing w:line="360" w:lineRule="auto"/>
              <w:ind w:firstLine="0" w:firstLineChars="0"/>
              <w:jc w:val="center"/>
              <w:rPr>
                <w:rFonts w:hint="default" w:ascii="Times New Roman" w:eastAsia="仿宋"/>
                <w:color w:val="auto"/>
                <w:sz w:val="24"/>
                <w:szCs w:val="24"/>
                <w:lang w:val="en-US" w:eastAsia="zh-CN"/>
              </w:rPr>
            </w:pPr>
            <w:r>
              <w:rPr>
                <w:rFonts w:hint="eastAsia" w:ascii="Times New Roman" w:eastAsia="仿宋"/>
                <w:color w:val="auto"/>
                <w:sz w:val="24"/>
                <w:szCs w:val="24"/>
                <w:lang w:val="en-US" w:eastAsia="zh-CN"/>
              </w:rPr>
              <w:t>46536.59</w:t>
            </w:r>
          </w:p>
        </w:tc>
        <w:tc>
          <w:tcPr>
            <w:tcW w:w="1291" w:type="dxa"/>
            <w:vAlign w:val="center"/>
          </w:tcPr>
          <w:p>
            <w:pPr>
              <w:pStyle w:val="22"/>
              <w:spacing w:line="360" w:lineRule="auto"/>
              <w:ind w:firstLine="0" w:firstLineChars="0"/>
              <w:jc w:val="center"/>
              <w:rPr>
                <w:rFonts w:hint="default" w:ascii="Times New Roman" w:eastAsia="仿宋"/>
                <w:color w:val="auto"/>
                <w:sz w:val="24"/>
                <w:szCs w:val="24"/>
                <w:lang w:val="en-US" w:eastAsia="zh-CN"/>
              </w:rPr>
            </w:pPr>
            <w:r>
              <w:rPr>
                <w:rFonts w:hint="eastAsia" w:ascii="Times New Roman" w:eastAsia="仿宋"/>
                <w:color w:val="auto"/>
                <w:sz w:val="24"/>
                <w:szCs w:val="24"/>
                <w:lang w:val="en-US" w:eastAsia="zh-CN"/>
              </w:rPr>
              <w:t>60124.19</w:t>
            </w:r>
          </w:p>
        </w:tc>
        <w:tc>
          <w:tcPr>
            <w:tcW w:w="1197" w:type="dxa"/>
            <w:vAlign w:val="center"/>
          </w:tcPr>
          <w:p>
            <w:pPr>
              <w:pStyle w:val="22"/>
              <w:spacing w:line="360" w:lineRule="auto"/>
              <w:ind w:firstLine="0" w:firstLineChars="0"/>
              <w:jc w:val="center"/>
              <w:rPr>
                <w:rFonts w:ascii="Times New Roman" w:eastAsia="仿宋"/>
                <w:color w:val="auto"/>
                <w:sz w:val="24"/>
                <w:szCs w:val="24"/>
              </w:rPr>
            </w:pPr>
            <w:r>
              <w:rPr>
                <w:rFonts w:ascii="Times New Roman" w:eastAsia="仿宋"/>
                <w:color w:val="auto"/>
                <w:sz w:val="24"/>
                <w:szCs w:val="24"/>
              </w:rPr>
              <w:t>预期性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731" w:type="dxa"/>
            <w:vMerge w:val="continue"/>
            <w:vAlign w:val="center"/>
          </w:tcPr>
          <w:p>
            <w:pPr>
              <w:pStyle w:val="22"/>
              <w:spacing w:line="360" w:lineRule="auto"/>
              <w:ind w:firstLine="0" w:firstLineChars="0"/>
              <w:jc w:val="center"/>
              <w:rPr>
                <w:rFonts w:ascii="Times New Roman" w:eastAsia="仿宋"/>
                <w:color w:val="auto"/>
                <w:sz w:val="24"/>
                <w:szCs w:val="24"/>
              </w:rPr>
            </w:pPr>
          </w:p>
        </w:tc>
        <w:tc>
          <w:tcPr>
            <w:tcW w:w="2488" w:type="dxa"/>
            <w:noWrap/>
            <w:vAlign w:val="center"/>
          </w:tcPr>
          <w:p>
            <w:pPr>
              <w:pStyle w:val="22"/>
              <w:spacing w:line="360" w:lineRule="auto"/>
              <w:ind w:firstLine="0" w:firstLineChars="0"/>
              <w:jc w:val="center"/>
              <w:rPr>
                <w:rFonts w:hint="default" w:ascii="Times New Roman" w:eastAsia="仿宋"/>
                <w:color w:val="auto"/>
                <w:sz w:val="24"/>
                <w:szCs w:val="24"/>
                <w:lang w:val="en-US" w:eastAsia="zh-CN"/>
              </w:rPr>
            </w:pPr>
            <w:r>
              <w:rPr>
                <w:rFonts w:hint="eastAsia" w:ascii="Times New Roman" w:eastAsia="仿宋"/>
                <w:color w:val="auto"/>
                <w:sz w:val="24"/>
                <w:szCs w:val="24"/>
                <w:lang w:val="en-US" w:eastAsia="zh-CN"/>
              </w:rPr>
              <w:t>农业“三减”面积</w:t>
            </w:r>
          </w:p>
        </w:tc>
        <w:tc>
          <w:tcPr>
            <w:tcW w:w="1184" w:type="dxa"/>
            <w:noWrap/>
            <w:vAlign w:val="center"/>
          </w:tcPr>
          <w:p>
            <w:pPr>
              <w:pStyle w:val="22"/>
              <w:spacing w:line="360" w:lineRule="auto"/>
              <w:ind w:firstLine="0" w:firstLineChars="0"/>
              <w:jc w:val="center"/>
              <w:rPr>
                <w:rFonts w:hint="default" w:ascii="Times New Roman" w:eastAsia="仿宋"/>
                <w:color w:val="auto"/>
                <w:sz w:val="24"/>
                <w:szCs w:val="24"/>
                <w:lang w:val="en-US" w:eastAsia="zh-CN"/>
              </w:rPr>
            </w:pPr>
            <w:r>
              <w:rPr>
                <w:rFonts w:hint="eastAsia" w:ascii="Times New Roman" w:eastAsia="仿宋"/>
                <w:color w:val="auto"/>
                <w:sz w:val="24"/>
                <w:szCs w:val="24"/>
                <w:lang w:val="en-US" w:eastAsia="zh-CN"/>
              </w:rPr>
              <w:t>万亩</w:t>
            </w:r>
          </w:p>
        </w:tc>
        <w:tc>
          <w:tcPr>
            <w:tcW w:w="1350" w:type="dxa"/>
            <w:vAlign w:val="center"/>
          </w:tcPr>
          <w:p>
            <w:pPr>
              <w:pStyle w:val="22"/>
              <w:spacing w:line="360" w:lineRule="auto"/>
              <w:ind w:firstLine="0" w:firstLineChars="0"/>
              <w:jc w:val="center"/>
              <w:rPr>
                <w:rFonts w:hint="default" w:ascii="Times New Roman" w:eastAsia="仿宋"/>
                <w:color w:val="auto"/>
                <w:sz w:val="24"/>
                <w:szCs w:val="24"/>
                <w:lang w:val="en-US" w:eastAsia="zh-CN"/>
              </w:rPr>
            </w:pPr>
            <w:r>
              <w:rPr>
                <w:rFonts w:hint="eastAsia" w:ascii="Times New Roman" w:eastAsia="仿宋"/>
                <w:color w:val="auto"/>
                <w:sz w:val="24"/>
                <w:szCs w:val="24"/>
                <w:lang w:val="en-US" w:eastAsia="zh-CN"/>
              </w:rPr>
              <w:t>110</w:t>
            </w:r>
          </w:p>
        </w:tc>
        <w:tc>
          <w:tcPr>
            <w:tcW w:w="1291" w:type="dxa"/>
            <w:vAlign w:val="center"/>
          </w:tcPr>
          <w:p>
            <w:pPr>
              <w:pStyle w:val="22"/>
              <w:spacing w:line="360" w:lineRule="auto"/>
              <w:ind w:firstLine="0" w:firstLineChars="0"/>
              <w:jc w:val="center"/>
              <w:rPr>
                <w:rFonts w:hint="default" w:ascii="Times New Roman" w:eastAsia="仿宋"/>
                <w:color w:val="auto"/>
                <w:sz w:val="24"/>
                <w:szCs w:val="24"/>
                <w:lang w:val="en-US" w:eastAsia="zh-CN"/>
              </w:rPr>
            </w:pPr>
            <w:r>
              <w:rPr>
                <w:rFonts w:hint="eastAsia" w:ascii="Times New Roman" w:eastAsia="仿宋"/>
                <w:color w:val="auto"/>
                <w:sz w:val="24"/>
                <w:szCs w:val="24"/>
                <w:lang w:val="en-US" w:eastAsia="zh-CN"/>
              </w:rPr>
              <w:t>110</w:t>
            </w:r>
          </w:p>
        </w:tc>
        <w:tc>
          <w:tcPr>
            <w:tcW w:w="1197" w:type="dxa"/>
            <w:vAlign w:val="center"/>
          </w:tcPr>
          <w:p>
            <w:pPr>
              <w:spacing w:line="360" w:lineRule="auto"/>
              <w:ind w:left="0" w:leftChars="0" w:firstLine="0" w:firstLineChars="0"/>
              <w:jc w:val="center"/>
              <w:rPr>
                <w:color w:val="auto"/>
              </w:rPr>
            </w:pPr>
            <w:r>
              <w:rPr>
                <w:rFonts w:ascii="Times New Roman" w:eastAsia="仿宋"/>
                <w:color w:val="auto"/>
                <w:sz w:val="24"/>
                <w:szCs w:val="24"/>
              </w:rPr>
              <w:t>预期性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1" w:type="dxa"/>
            <w:vMerge w:val="continue"/>
            <w:vAlign w:val="center"/>
          </w:tcPr>
          <w:p>
            <w:pPr>
              <w:pStyle w:val="22"/>
              <w:spacing w:line="360" w:lineRule="auto"/>
              <w:ind w:firstLine="0" w:firstLineChars="0"/>
              <w:jc w:val="center"/>
              <w:rPr>
                <w:rFonts w:ascii="Times New Roman" w:eastAsia="仿宋"/>
                <w:color w:val="auto"/>
                <w:sz w:val="24"/>
                <w:szCs w:val="24"/>
              </w:rPr>
            </w:pPr>
          </w:p>
        </w:tc>
        <w:tc>
          <w:tcPr>
            <w:tcW w:w="2488" w:type="dxa"/>
            <w:noWrap/>
            <w:vAlign w:val="center"/>
          </w:tcPr>
          <w:p>
            <w:pPr>
              <w:pStyle w:val="22"/>
              <w:spacing w:line="360" w:lineRule="auto"/>
              <w:ind w:firstLine="0" w:firstLineChars="0"/>
              <w:jc w:val="center"/>
              <w:rPr>
                <w:rFonts w:hint="eastAsia" w:ascii="Times New Roman" w:eastAsia="仿宋"/>
                <w:color w:val="auto"/>
                <w:sz w:val="24"/>
                <w:szCs w:val="24"/>
                <w:lang w:val="en-US" w:eastAsia="zh-CN"/>
              </w:rPr>
            </w:pPr>
            <w:r>
              <w:rPr>
                <w:rFonts w:hint="eastAsia" w:ascii="Times New Roman" w:eastAsia="仿宋"/>
                <w:color w:val="auto"/>
                <w:sz w:val="24"/>
                <w:szCs w:val="24"/>
                <w:lang w:val="en-US" w:eastAsia="zh-CN"/>
              </w:rPr>
              <w:t>废弃包装物、废旧农膜等总体回收处置率</w:t>
            </w:r>
          </w:p>
        </w:tc>
        <w:tc>
          <w:tcPr>
            <w:tcW w:w="1184" w:type="dxa"/>
            <w:noWrap/>
            <w:vAlign w:val="center"/>
          </w:tcPr>
          <w:p>
            <w:pPr>
              <w:pStyle w:val="22"/>
              <w:spacing w:line="360" w:lineRule="auto"/>
              <w:ind w:firstLine="0" w:firstLineChars="0"/>
              <w:jc w:val="center"/>
              <w:rPr>
                <w:rFonts w:ascii="Times New Roman" w:eastAsia="仿宋"/>
                <w:color w:val="auto"/>
                <w:sz w:val="24"/>
                <w:szCs w:val="24"/>
              </w:rPr>
            </w:pPr>
            <w:r>
              <w:rPr>
                <w:rFonts w:ascii="Times New Roman" w:eastAsia="仿宋"/>
                <w:color w:val="auto"/>
                <w:sz w:val="24"/>
                <w:szCs w:val="24"/>
              </w:rPr>
              <w:t>%</w:t>
            </w:r>
          </w:p>
        </w:tc>
        <w:tc>
          <w:tcPr>
            <w:tcW w:w="1350" w:type="dxa"/>
            <w:vAlign w:val="center"/>
          </w:tcPr>
          <w:p>
            <w:pPr>
              <w:pStyle w:val="22"/>
              <w:spacing w:line="360" w:lineRule="auto"/>
              <w:ind w:firstLine="0" w:firstLineChars="0"/>
              <w:jc w:val="center"/>
              <w:rPr>
                <w:rFonts w:hint="default" w:ascii="Times New Roman" w:eastAsia="仿宋"/>
                <w:color w:val="auto"/>
                <w:sz w:val="24"/>
                <w:szCs w:val="24"/>
                <w:lang w:val="en-US" w:eastAsia="zh-CN"/>
              </w:rPr>
            </w:pPr>
            <w:r>
              <w:rPr>
                <w:rFonts w:hint="eastAsia" w:ascii="Times New Roman" w:eastAsia="仿宋"/>
                <w:color w:val="auto"/>
                <w:sz w:val="24"/>
                <w:szCs w:val="24"/>
                <w:lang w:val="en-US" w:eastAsia="zh-CN"/>
              </w:rPr>
              <w:t>80</w:t>
            </w:r>
          </w:p>
        </w:tc>
        <w:tc>
          <w:tcPr>
            <w:tcW w:w="1291" w:type="dxa"/>
            <w:vAlign w:val="center"/>
          </w:tcPr>
          <w:p>
            <w:pPr>
              <w:pStyle w:val="22"/>
              <w:spacing w:line="360" w:lineRule="auto"/>
              <w:ind w:firstLine="0" w:firstLineChars="0"/>
              <w:jc w:val="center"/>
              <w:rPr>
                <w:rFonts w:hint="default" w:ascii="Times New Roman" w:eastAsia="仿宋"/>
                <w:color w:val="auto"/>
                <w:sz w:val="24"/>
                <w:szCs w:val="24"/>
                <w:lang w:val="en-US" w:eastAsia="zh-CN"/>
              </w:rPr>
            </w:pPr>
            <w:r>
              <w:rPr>
                <w:rFonts w:hint="eastAsia" w:ascii="Times New Roman" w:eastAsia="仿宋"/>
                <w:color w:val="auto"/>
                <w:sz w:val="24"/>
                <w:szCs w:val="24"/>
                <w:lang w:val="en-US" w:eastAsia="zh-CN"/>
              </w:rPr>
              <w:t>92</w:t>
            </w:r>
          </w:p>
        </w:tc>
        <w:tc>
          <w:tcPr>
            <w:tcW w:w="1197" w:type="dxa"/>
            <w:vAlign w:val="center"/>
          </w:tcPr>
          <w:p>
            <w:pPr>
              <w:pStyle w:val="22"/>
              <w:spacing w:line="360" w:lineRule="auto"/>
              <w:ind w:firstLine="0" w:firstLineChars="0"/>
              <w:jc w:val="center"/>
              <w:rPr>
                <w:rFonts w:ascii="Times New Roman" w:eastAsia="仿宋"/>
                <w:color w:val="auto"/>
                <w:sz w:val="24"/>
                <w:szCs w:val="24"/>
              </w:rPr>
            </w:pPr>
            <w:r>
              <w:rPr>
                <w:rFonts w:ascii="Times New Roman" w:eastAsia="仿宋"/>
                <w:color w:val="auto"/>
                <w:sz w:val="24"/>
                <w:szCs w:val="24"/>
              </w:rPr>
              <w:t>预期性</w:t>
            </w:r>
          </w:p>
        </w:tc>
      </w:tr>
    </w:tbl>
    <w:p>
      <w:pPr>
        <w:ind w:firstLine="560"/>
        <w:rPr>
          <w:rFonts w:hint="default"/>
          <w:color w:val="auto"/>
          <w:lang w:val="en-US" w:eastAsia="zh-CN"/>
        </w:rPr>
      </w:pPr>
      <w:bookmarkStart w:id="30" w:name="_Toc29117"/>
      <w:r>
        <w:rPr>
          <w:rFonts w:hint="eastAsia"/>
          <w:color w:val="auto"/>
          <w:lang w:val="en-US" w:eastAsia="zh-CN"/>
        </w:rPr>
        <w:t>上述指标体系中，生态保护红线面积、耕地保有量、森林覆盖率目标值均来自绥棱县国土空间规划目标值，湿地面积目标值来源于绥棱县十四五湿地保护规划目标值，黑土地保护面积目标值来自绥棱县农业农村局十四五工作安排中目标值。</w:t>
      </w:r>
    </w:p>
    <w:p>
      <w:pPr>
        <w:pStyle w:val="3"/>
        <w:ind w:firstLine="0" w:firstLineChars="0"/>
        <w:rPr>
          <w:rFonts w:ascii="Times New Roman" w:hAnsi="Times New Roman" w:eastAsia="仿宋" w:cs="Times New Roman"/>
          <w:color w:val="auto"/>
        </w:rPr>
      </w:pPr>
      <w:r>
        <w:rPr>
          <w:rFonts w:hint="eastAsia" w:ascii="Times New Roman" w:hAnsi="Times New Roman" w:eastAsia="仿宋" w:cs="Times New Roman"/>
          <w:color w:val="auto"/>
        </w:rPr>
        <w:t>3.2 目标可实现性</w:t>
      </w:r>
      <w:bookmarkEnd w:id="30"/>
    </w:p>
    <w:p>
      <w:pPr>
        <w:ind w:firstLine="560"/>
        <w:rPr>
          <w:color w:val="auto"/>
        </w:rPr>
      </w:pPr>
      <w:r>
        <w:rPr>
          <w:rFonts w:hint="eastAsia"/>
          <w:color w:val="auto"/>
        </w:rPr>
        <w:t>（1）严格控制生态保护红线</w:t>
      </w:r>
    </w:p>
    <w:p>
      <w:pPr>
        <w:ind w:firstLine="560"/>
        <w:rPr>
          <w:rFonts w:eastAsia="仿宋_GB2312" w:cs="Times New Roman"/>
          <w:color w:val="auto"/>
        </w:rPr>
      </w:pPr>
      <w:r>
        <w:rPr>
          <w:rFonts w:eastAsia="仿宋_GB2312" w:cs="Times New Roman"/>
          <w:color w:val="auto"/>
        </w:rPr>
        <w:t>生态保护红线的实质是生态环境安全的底线，目的是建立最严格的生态保护制度，对生态功能保障、环境质量安全和自然资源利用等方面提出更高的监管要求，从而促进人口资源环境相均衡、经济社会生态效益相统一。</w:t>
      </w:r>
      <w:r>
        <w:rPr>
          <w:rFonts w:hint="eastAsia" w:eastAsia="仿宋_GB2312" w:cs="Times New Roman"/>
          <w:color w:val="auto"/>
        </w:rPr>
        <w:t>绥棱县政府将严格控制生态保护红线，在生态保护红线内，自然保护地核心保护区原则上禁止人为活动，其他区域严格禁止开发性、生产性建设活动，在符合现行法律法规前提下，除国家重大战略项目外，仅允许对生态功能不造成破坏的有限人为活动。有序处理生态保护红线范围内历史遗留矿山问题，确保生态保护红线生态功能不降低、面积不减少、性质不改变，提升生态系统多样性、稳定性、持续性，保障国家生态安全。</w:t>
      </w:r>
    </w:p>
    <w:p>
      <w:pPr>
        <w:ind w:firstLine="560"/>
        <w:rPr>
          <w:color w:val="auto"/>
        </w:rPr>
      </w:pPr>
      <w:r>
        <w:rPr>
          <w:rFonts w:hint="eastAsia"/>
          <w:color w:val="auto"/>
        </w:rPr>
        <w:t>（2）保障耕地质量不下降</w:t>
      </w:r>
    </w:p>
    <w:p>
      <w:pPr>
        <w:ind w:firstLine="560"/>
        <w:rPr>
          <w:color w:val="auto"/>
        </w:rPr>
      </w:pPr>
      <w:r>
        <w:rPr>
          <w:rFonts w:hint="eastAsia"/>
          <w:color w:val="auto"/>
        </w:rPr>
        <w:t>绥棱县政府持续推进永久基本农田建设，在永久基本农田控制线基础上，结合当地实际情况，加强农田质量建设，2021年实施高标准农田改造6371.7公顷，2022年实施高标准农田改造7215.9公顷，重点建设通田到地末级灌溉渠道、机耕道路、生产路、沟道防护等生产设施，对排水沟进行清淤，保证耕地保有量不减少、用途不改变。同时实施农业三减，推进测土配方施肥工作，保证耕地质量不降低。</w:t>
      </w:r>
    </w:p>
    <w:p>
      <w:pPr>
        <w:ind w:firstLine="560"/>
        <w:rPr>
          <w:color w:val="auto"/>
        </w:rPr>
      </w:pPr>
      <w:r>
        <w:rPr>
          <w:rFonts w:hint="eastAsia"/>
          <w:color w:val="auto"/>
        </w:rPr>
        <w:t>（3）保证森林覆盖率不降低</w:t>
      </w:r>
    </w:p>
    <w:p>
      <w:pPr>
        <w:ind w:firstLine="560"/>
        <w:rPr>
          <w:color w:val="auto"/>
        </w:rPr>
      </w:pPr>
      <w:r>
        <w:rPr>
          <w:rFonts w:hint="eastAsia"/>
          <w:color w:val="auto"/>
        </w:rPr>
        <w:t>目前，绥棱县森林覆盖率为50.6</w:t>
      </w:r>
      <w:r>
        <w:rPr>
          <w:rFonts w:hint="eastAsia"/>
          <w:color w:val="auto"/>
          <w:lang w:val="en-US" w:eastAsia="zh-CN"/>
        </w:rPr>
        <w:t>3</w:t>
      </w:r>
      <w:r>
        <w:rPr>
          <w:rFonts w:hint="eastAsia"/>
          <w:color w:val="auto"/>
        </w:rPr>
        <w:t>%，但存在森林林分质量总体不高、树种结构单一的问题，导致森林生态系统质量和稳定性偏低。规划通过造林、新增植树、新增绿地、加强科学管理等方式，至2025年，规划森林覆盖率达50.85%，森林覆盖率逐年稳步提升。</w:t>
      </w:r>
    </w:p>
    <w:p>
      <w:pPr>
        <w:ind w:firstLine="560"/>
        <w:rPr>
          <w:color w:val="auto"/>
        </w:rPr>
      </w:pPr>
      <w:r>
        <w:rPr>
          <w:rFonts w:hint="eastAsia"/>
          <w:color w:val="auto"/>
        </w:rPr>
        <w:t>（4）湿地生态系统健康稳定发展</w:t>
      </w:r>
    </w:p>
    <w:p>
      <w:pPr>
        <w:ind w:firstLine="560"/>
        <w:rPr>
          <w:color w:val="auto"/>
        </w:rPr>
      </w:pPr>
      <w:r>
        <w:rPr>
          <w:rFonts w:hint="eastAsia"/>
          <w:color w:val="auto"/>
        </w:rPr>
        <w:t>绥棱县通过实施</w:t>
      </w:r>
      <w:r>
        <w:rPr>
          <w:rFonts w:cs="Times New Roman"/>
          <w:color w:val="auto"/>
          <w:szCs w:val="22"/>
        </w:rPr>
        <w:t>湿地保有量管控措施，禁止围垦湿地，推行林长制、河长制，加大湿地保护力度，提高社会认知度，</w:t>
      </w:r>
      <w:r>
        <w:rPr>
          <w:rFonts w:hint="eastAsia" w:cs="Times New Roman"/>
          <w:color w:val="auto"/>
          <w:szCs w:val="22"/>
        </w:rPr>
        <w:t>做到湿地面积不萎缩，提升湿地生态系统稳定性。</w:t>
      </w:r>
    </w:p>
    <w:p>
      <w:pPr>
        <w:ind w:firstLine="560"/>
        <w:rPr>
          <w:color w:val="auto"/>
        </w:rPr>
      </w:pPr>
      <w:r>
        <w:rPr>
          <w:rFonts w:hint="eastAsia"/>
          <w:color w:val="auto"/>
        </w:rPr>
        <w:t>（5）水土流失治理力度持续提升</w:t>
      </w:r>
    </w:p>
    <w:p>
      <w:pPr>
        <w:ind w:firstLine="560"/>
        <w:rPr>
          <w:color w:val="auto"/>
        </w:rPr>
      </w:pPr>
      <w:r>
        <w:rPr>
          <w:rFonts w:hint="eastAsia"/>
          <w:color w:val="auto"/>
        </w:rPr>
        <w:t>根据绥棱县生态系统现状服务功能，水源涵养量1663.33万立方米，土壤保持量120372.89吨。十四五期间，绥棱县政府实施侵蚀沟治理、植树造林、排水沟清淤等治理工程，水土流失治理面积达322.56公顷，林地覆盖面积增加888.74公顷，水源涵养量增加3.43万立方米，土壤保持量增加408.82吨，林地覆盖面积提升0.20%，水源涵养量增加0.21%，土壤保持量增加0.34%。工程的实施减缓了土壤侵蚀速率，增加了规划区水源涵养量，提高了黑土地肥力，有效改善了区域生态环境。</w:t>
      </w:r>
    </w:p>
    <w:p>
      <w:pPr>
        <w:ind w:firstLine="560"/>
        <w:rPr>
          <w:rFonts w:hint="default" w:eastAsia="仿宋" w:cs="Times New Roman"/>
          <w:bCs/>
          <w:color w:val="auto"/>
          <w:lang w:val="en-US" w:eastAsia="zh-CN"/>
        </w:rPr>
      </w:pPr>
      <w:r>
        <w:rPr>
          <w:rFonts w:hint="eastAsia" w:cs="Times New Roman"/>
          <w:bCs/>
          <w:color w:val="auto"/>
          <w:lang w:eastAsia="zh-CN"/>
        </w:rPr>
        <w:t>（</w:t>
      </w:r>
      <w:r>
        <w:rPr>
          <w:rFonts w:hint="eastAsia" w:cs="Times New Roman"/>
          <w:bCs/>
          <w:color w:val="auto"/>
          <w:lang w:val="en-US" w:eastAsia="zh-CN"/>
        </w:rPr>
        <w:t>6</w:t>
      </w:r>
      <w:r>
        <w:rPr>
          <w:rFonts w:hint="eastAsia" w:cs="Times New Roman"/>
          <w:bCs/>
          <w:color w:val="auto"/>
          <w:lang w:eastAsia="zh-CN"/>
        </w:rPr>
        <w:t>）</w:t>
      </w:r>
      <w:r>
        <w:rPr>
          <w:rFonts w:hint="eastAsia" w:cs="Times New Roman"/>
          <w:bCs/>
          <w:color w:val="auto"/>
          <w:lang w:val="en-US" w:eastAsia="zh-CN"/>
        </w:rPr>
        <w:t>生态恢复专项资金有保障</w:t>
      </w:r>
    </w:p>
    <w:p>
      <w:pPr>
        <w:ind w:firstLine="560"/>
        <w:rPr>
          <w:rFonts w:hint="default" w:eastAsia="仿宋" w:cs="Times New Roman"/>
          <w:bCs/>
          <w:color w:val="auto"/>
          <w:lang w:val="en-US" w:eastAsia="zh-CN"/>
        </w:rPr>
      </w:pPr>
      <w:r>
        <w:rPr>
          <w:rFonts w:hint="eastAsia" w:cs="Times New Roman"/>
          <w:bCs/>
          <w:color w:val="auto"/>
          <w:lang w:val="en-US" w:eastAsia="zh-CN"/>
        </w:rPr>
        <w:t>绥棱县</w:t>
      </w:r>
      <w:r>
        <w:rPr>
          <w:rFonts w:hint="eastAsia" w:cs="Times New Roman"/>
          <w:bCs/>
          <w:color w:val="auto"/>
        </w:rPr>
        <w:t>把生态恢复、生态建设资金列入财政预算，</w:t>
      </w:r>
      <w:r>
        <w:rPr>
          <w:rFonts w:hint="eastAsia" w:cs="Times New Roman"/>
          <w:bCs/>
          <w:color w:val="auto"/>
          <w:lang w:val="en-US" w:eastAsia="zh-CN"/>
        </w:rPr>
        <w:t>专款专用，并逐步加大生态恢复投入力度，随着财政收入的增加确保生态恢复专项资金按一定比例逐年增长。根据绥棱县地形地貌、气候、水文等季节特点，绥棱县重点工程均在夏季和秋季完成，能够保证植被在适宜的环境生长，保证目标可达。</w:t>
      </w:r>
    </w:p>
    <w:p>
      <w:pPr>
        <w:ind w:firstLine="560"/>
        <w:rPr>
          <w:rFonts w:cs="Times New Roman"/>
          <w:bCs/>
          <w:color w:val="auto"/>
        </w:rPr>
      </w:pPr>
      <w:r>
        <w:rPr>
          <w:rFonts w:cs="Times New Roman"/>
          <w:bCs/>
          <w:color w:val="auto"/>
        </w:rPr>
        <w:t>规划提出了</w:t>
      </w:r>
      <w:r>
        <w:rPr>
          <w:rFonts w:hint="eastAsia" w:cs="Times New Roman"/>
          <w:bCs/>
          <w:color w:val="auto"/>
        </w:rPr>
        <w:t>“十四五”生态功能保护修复</w:t>
      </w:r>
      <w:r>
        <w:rPr>
          <w:rFonts w:cs="Times New Roman"/>
          <w:bCs/>
          <w:color w:val="auto"/>
        </w:rPr>
        <w:t>主要任务，包括提升</w:t>
      </w:r>
      <w:r>
        <w:rPr>
          <w:rFonts w:hint="eastAsia" w:cs="Times New Roman"/>
          <w:bCs/>
          <w:color w:val="auto"/>
        </w:rPr>
        <w:t>水源涵养能力，保障森林覆盖率，加大水土流失综合治理力度，提升土壤保持能力，保护区域生物多样性，开展城乡环境整治</w:t>
      </w:r>
      <w:r>
        <w:rPr>
          <w:rFonts w:cs="Times New Roman"/>
          <w:bCs/>
          <w:color w:val="auto"/>
        </w:rPr>
        <w:t>、建立健全</w:t>
      </w:r>
      <w:r>
        <w:rPr>
          <w:rFonts w:hint="eastAsia" w:cs="Times New Roman"/>
          <w:bCs/>
          <w:color w:val="auto"/>
        </w:rPr>
        <w:t>环境</w:t>
      </w:r>
      <w:r>
        <w:rPr>
          <w:rFonts w:cs="Times New Roman"/>
          <w:bCs/>
          <w:color w:val="auto"/>
        </w:rPr>
        <w:t>管理制度、强化环境监管。结合</w:t>
      </w:r>
      <w:r>
        <w:rPr>
          <w:rFonts w:hint="eastAsia" w:cs="Times New Roman"/>
          <w:bCs/>
          <w:color w:val="auto"/>
        </w:rPr>
        <w:t>绥棱县</w:t>
      </w:r>
      <w:r>
        <w:rPr>
          <w:rFonts w:cs="Times New Roman"/>
          <w:bCs/>
          <w:color w:val="auto"/>
        </w:rPr>
        <w:t>当地实际情况以及相关管理要求提出了</w:t>
      </w:r>
      <w:r>
        <w:rPr>
          <w:rFonts w:hint="eastAsia" w:cs="Times New Roman"/>
          <w:bCs/>
          <w:color w:val="auto"/>
        </w:rPr>
        <w:t>生态功能保护修复重点工程</w:t>
      </w:r>
      <w:r>
        <w:rPr>
          <w:rFonts w:cs="Times New Roman"/>
          <w:bCs/>
          <w:color w:val="auto"/>
        </w:rPr>
        <w:t>。</w:t>
      </w:r>
    </w:p>
    <w:p>
      <w:pPr>
        <w:ind w:firstLine="560"/>
        <w:rPr>
          <w:rFonts w:cs="Times New Roman"/>
          <w:bCs/>
          <w:color w:val="auto"/>
        </w:rPr>
      </w:pPr>
      <w:r>
        <w:rPr>
          <w:rFonts w:cs="Times New Roman"/>
          <w:bCs/>
          <w:color w:val="auto"/>
        </w:rPr>
        <w:t>随着国家和社会对环境改善需求的日益加强，在</w:t>
      </w:r>
      <w:r>
        <w:rPr>
          <w:rFonts w:hint="eastAsia" w:cs="Times New Roman"/>
          <w:bCs/>
          <w:color w:val="auto"/>
        </w:rPr>
        <w:t>生态功能保护修复</w:t>
      </w:r>
      <w:r>
        <w:rPr>
          <w:rFonts w:cs="Times New Roman"/>
          <w:bCs/>
          <w:color w:val="auto"/>
        </w:rPr>
        <w:t>上势必需投入更多资金。通过积极申请专项资金，为</w:t>
      </w:r>
      <w:r>
        <w:rPr>
          <w:rFonts w:hint="eastAsia" w:cs="Times New Roman"/>
          <w:bCs/>
          <w:color w:val="auto"/>
        </w:rPr>
        <w:t>绥棱</w:t>
      </w:r>
      <w:r>
        <w:rPr>
          <w:rFonts w:cs="Times New Roman"/>
          <w:bCs/>
          <w:color w:val="auto"/>
        </w:rPr>
        <w:t>县</w:t>
      </w:r>
      <w:r>
        <w:rPr>
          <w:rFonts w:hint="eastAsia" w:cs="Times New Roman"/>
          <w:bCs/>
          <w:color w:val="auto"/>
        </w:rPr>
        <w:t>十四五生态功能保护修复</w:t>
      </w:r>
      <w:r>
        <w:rPr>
          <w:rFonts w:cs="Times New Roman"/>
          <w:bCs/>
          <w:color w:val="auto"/>
        </w:rPr>
        <w:t>工作提供资金支持，减轻地方资金压力。在争取国家、黑龙江省资金支持下，本规划提出的任务措施是具有经济可达性的。</w:t>
      </w:r>
    </w:p>
    <w:p>
      <w:pPr>
        <w:pStyle w:val="15"/>
        <w:ind w:left="560" w:firstLine="400"/>
        <w:rPr>
          <w:rFonts w:cs="Times New Roman"/>
          <w:color w:val="auto"/>
        </w:rPr>
      </w:pPr>
    </w:p>
    <w:p>
      <w:pPr>
        <w:pStyle w:val="15"/>
        <w:ind w:left="560" w:firstLine="400"/>
        <w:rPr>
          <w:rFonts w:cs="Times New Roman"/>
          <w:color w:val="auto"/>
        </w:rPr>
      </w:pPr>
    </w:p>
    <w:p>
      <w:pPr>
        <w:ind w:firstLine="560"/>
        <w:rPr>
          <w:rFonts w:cs="Times New Roman"/>
          <w:color w:val="auto"/>
        </w:rPr>
      </w:pPr>
    </w:p>
    <w:p>
      <w:pPr>
        <w:ind w:firstLine="560"/>
        <w:rPr>
          <w:rFonts w:cs="Times New Roman"/>
          <w:color w:val="auto"/>
        </w:rPr>
      </w:pPr>
      <w:r>
        <w:rPr>
          <w:rFonts w:cs="Times New Roman"/>
          <w:color w:val="auto"/>
        </w:rPr>
        <w:br w:type="page"/>
      </w:r>
    </w:p>
    <w:p>
      <w:pPr>
        <w:pStyle w:val="2"/>
        <w:ind w:firstLine="0" w:firstLineChars="0"/>
        <w:rPr>
          <w:rFonts w:hint="default" w:ascii="Times New Roman" w:hAnsi="Times New Roman" w:eastAsia="仿宋"/>
          <w:color w:val="auto"/>
        </w:rPr>
      </w:pPr>
      <w:bookmarkStart w:id="31" w:name="_Toc32555"/>
      <w:r>
        <w:rPr>
          <w:rFonts w:ascii="Times New Roman" w:hAnsi="Times New Roman" w:eastAsia="仿宋"/>
          <w:color w:val="auto"/>
        </w:rPr>
        <w:t>4</w:t>
      </w:r>
      <w:r>
        <w:rPr>
          <w:rFonts w:hint="default" w:ascii="Times New Roman" w:hAnsi="Times New Roman" w:eastAsia="仿宋"/>
          <w:color w:val="auto"/>
        </w:rPr>
        <w:t xml:space="preserve"> 工作成效和面临形势</w:t>
      </w:r>
      <w:bookmarkEnd w:id="31"/>
    </w:p>
    <w:p>
      <w:pPr>
        <w:pStyle w:val="3"/>
        <w:ind w:firstLine="0" w:firstLineChars="0"/>
        <w:rPr>
          <w:rFonts w:ascii="Times New Roman" w:hAnsi="Times New Roman" w:eastAsia="仿宋" w:cs="Times New Roman"/>
          <w:color w:val="auto"/>
        </w:rPr>
      </w:pPr>
      <w:bookmarkStart w:id="32" w:name="_Toc22611"/>
      <w:r>
        <w:rPr>
          <w:rFonts w:hint="eastAsia" w:ascii="Times New Roman" w:hAnsi="Times New Roman" w:eastAsia="仿宋" w:cs="Times New Roman"/>
          <w:color w:val="auto"/>
        </w:rPr>
        <w:t>4</w:t>
      </w:r>
      <w:r>
        <w:rPr>
          <w:rFonts w:ascii="Times New Roman" w:hAnsi="Times New Roman" w:eastAsia="仿宋" w:cs="Times New Roman"/>
          <w:color w:val="auto"/>
        </w:rPr>
        <w:t>.1生态保护修复成效</w:t>
      </w:r>
      <w:bookmarkEnd w:id="32"/>
    </w:p>
    <w:p>
      <w:pPr>
        <w:spacing w:line="600" w:lineRule="exact"/>
        <w:ind w:firstLine="560"/>
        <w:rPr>
          <w:rFonts w:cs="Times New Roman"/>
          <w:color w:val="auto"/>
        </w:rPr>
      </w:pPr>
      <w:r>
        <w:rPr>
          <w:rFonts w:cs="Times New Roman"/>
          <w:color w:val="auto"/>
        </w:rPr>
        <w:t>“十三五”以来，绥棱县积极践行“绿水青山就是金山银山”理念，坚持绿色发展、生态优先的发展理念，扎实推进水土流失治理与城乡污染防治工作，先后实施了侵蚀沟治理工程、高标准农田建设工程等，全县水源涵养功能保持稳定，森林资源持续增长，生态环境不断改善，生物多样性得到有效保护。</w:t>
      </w:r>
    </w:p>
    <w:p>
      <w:pPr>
        <w:pStyle w:val="4"/>
        <w:spacing w:line="600" w:lineRule="exact"/>
        <w:ind w:firstLine="0" w:firstLineChars="0"/>
        <w:rPr>
          <w:rFonts w:cs="Times New Roman"/>
          <w:color w:val="auto"/>
          <w:sz w:val="30"/>
          <w:szCs w:val="30"/>
        </w:rPr>
      </w:pPr>
      <w:bookmarkStart w:id="33" w:name="_Toc116051905"/>
      <w:bookmarkStart w:id="34" w:name="_Toc17251"/>
      <w:r>
        <w:rPr>
          <w:rFonts w:hint="eastAsia" w:cs="Times New Roman"/>
          <w:color w:val="auto"/>
          <w:sz w:val="30"/>
          <w:szCs w:val="30"/>
        </w:rPr>
        <w:t>4</w:t>
      </w:r>
      <w:r>
        <w:rPr>
          <w:rFonts w:cs="Times New Roman"/>
          <w:color w:val="auto"/>
          <w:sz w:val="30"/>
          <w:szCs w:val="30"/>
        </w:rPr>
        <w:t>.1.1生态保护红线划定</w:t>
      </w:r>
      <w:bookmarkEnd w:id="33"/>
      <w:bookmarkEnd w:id="34"/>
    </w:p>
    <w:p>
      <w:pPr>
        <w:ind w:firstLine="560"/>
        <w:rPr>
          <w:rFonts w:cs="Times New Roman"/>
          <w:color w:val="auto"/>
        </w:rPr>
      </w:pPr>
      <w:r>
        <w:rPr>
          <w:rFonts w:cs="Times New Roman"/>
          <w:color w:val="auto"/>
        </w:rPr>
        <w:t>绥棱县完成生态保护红线、永久基本农田、城镇开发边界三条控制线划定工作。根据绥棱县“三区三线”划定成果，生态保护红线面积</w:t>
      </w:r>
      <w:r>
        <w:rPr>
          <w:rFonts w:hint="eastAsia" w:cs="Times New Roman"/>
          <w:color w:val="auto"/>
        </w:rPr>
        <w:t>965.77</w:t>
      </w:r>
      <w:r>
        <w:rPr>
          <w:rFonts w:cs="Times New Roman"/>
          <w:color w:val="auto"/>
        </w:rPr>
        <w:t>平方公里，永久基本农田</w:t>
      </w:r>
      <w:r>
        <w:rPr>
          <w:rFonts w:hint="eastAsia" w:cs="Times New Roman"/>
          <w:color w:val="auto"/>
        </w:rPr>
        <w:t>127398.33</w:t>
      </w:r>
      <w:r>
        <w:rPr>
          <w:rFonts w:cs="Times New Roman"/>
          <w:color w:val="auto"/>
        </w:rPr>
        <w:t>公顷，城镇开发边界</w:t>
      </w:r>
      <w:r>
        <w:rPr>
          <w:rFonts w:hint="eastAsia" w:cs="Times New Roman"/>
          <w:color w:val="auto"/>
        </w:rPr>
        <w:t>2409.21</w:t>
      </w:r>
      <w:r>
        <w:rPr>
          <w:rFonts w:cs="Times New Roman"/>
          <w:color w:val="auto"/>
        </w:rPr>
        <w:t>公顷。自然保护区、国家森林公园、饮用水源地保护区等生态保护重要区域和生态敏感区域划入了生态保护红线，稳定生态保护格局。</w:t>
      </w:r>
    </w:p>
    <w:p>
      <w:pPr>
        <w:pStyle w:val="4"/>
        <w:spacing w:line="600" w:lineRule="exact"/>
        <w:ind w:firstLine="0" w:firstLineChars="0"/>
        <w:rPr>
          <w:rFonts w:cs="Times New Roman"/>
          <w:color w:val="auto"/>
          <w:sz w:val="30"/>
          <w:szCs w:val="30"/>
        </w:rPr>
      </w:pPr>
      <w:bookmarkStart w:id="35" w:name="_Toc27715"/>
      <w:r>
        <w:rPr>
          <w:rFonts w:hint="eastAsia" w:cs="Times New Roman"/>
          <w:color w:val="auto"/>
          <w:sz w:val="30"/>
          <w:szCs w:val="30"/>
        </w:rPr>
        <w:t>4</w:t>
      </w:r>
      <w:r>
        <w:rPr>
          <w:rFonts w:cs="Times New Roman"/>
          <w:color w:val="auto"/>
          <w:sz w:val="30"/>
          <w:szCs w:val="30"/>
        </w:rPr>
        <w:t>.1.2水土流失治理成效</w:t>
      </w:r>
      <w:bookmarkEnd w:id="35"/>
    </w:p>
    <w:p>
      <w:pPr>
        <w:ind w:firstLine="560"/>
        <w:rPr>
          <w:rFonts w:cs="Times New Roman"/>
          <w:color w:val="auto"/>
        </w:rPr>
      </w:pPr>
      <w:r>
        <w:rPr>
          <w:rFonts w:cs="Times New Roman"/>
          <w:color w:val="auto"/>
        </w:rPr>
        <w:t>“十二五、十三五”期间，绥棱县开展了前头小流域、前六小流域、诺敏河小流域、十五井小流域、长山小流域、靠山坡耕地和克音河坡耕地等综合治理工程。</w:t>
      </w:r>
      <w:r>
        <w:rPr>
          <w:rFonts w:hint="eastAsia" w:cs="Times New Roman"/>
          <w:color w:val="auto"/>
          <w:lang w:eastAsia="zh-CN"/>
        </w:rPr>
        <w:t>截至</w:t>
      </w:r>
      <w:r>
        <w:rPr>
          <w:rFonts w:cs="Times New Roman"/>
          <w:color w:val="auto"/>
        </w:rPr>
        <w:t xml:space="preserve"> 2020 年，累计治理水土流失面积达到247.6km</w:t>
      </w:r>
      <w:r>
        <w:rPr>
          <w:rFonts w:cs="Times New Roman"/>
          <w:color w:val="auto"/>
          <w:vertAlign w:val="superscript"/>
        </w:rPr>
        <w:t>2</w:t>
      </w:r>
      <w:r>
        <w:rPr>
          <w:rFonts w:cs="Times New Roman"/>
          <w:color w:val="auto"/>
        </w:rPr>
        <w:t>。通过小流域综合治理、侵蚀沟专项治理等工程，提高部分区域土地生产力，同时也降低了土壤侵蚀强度。</w:t>
      </w:r>
    </w:p>
    <w:p>
      <w:pPr>
        <w:pStyle w:val="4"/>
        <w:spacing w:line="600" w:lineRule="exact"/>
        <w:ind w:firstLine="0" w:firstLineChars="0"/>
        <w:rPr>
          <w:rFonts w:cs="Times New Roman"/>
          <w:color w:val="auto"/>
          <w:sz w:val="30"/>
          <w:szCs w:val="30"/>
        </w:rPr>
      </w:pPr>
      <w:bookmarkStart w:id="36" w:name="_Toc3504"/>
      <w:r>
        <w:rPr>
          <w:rFonts w:hint="eastAsia" w:cs="Times New Roman"/>
          <w:color w:val="auto"/>
          <w:sz w:val="30"/>
          <w:szCs w:val="30"/>
        </w:rPr>
        <w:t>4</w:t>
      </w:r>
      <w:r>
        <w:rPr>
          <w:rFonts w:cs="Times New Roman"/>
          <w:color w:val="auto"/>
          <w:sz w:val="30"/>
          <w:szCs w:val="30"/>
        </w:rPr>
        <w:t>.1.3矿山地质环境生态修复成效</w:t>
      </w:r>
      <w:bookmarkEnd w:id="36"/>
    </w:p>
    <w:p>
      <w:pPr>
        <w:ind w:firstLine="560"/>
        <w:rPr>
          <w:rFonts w:eastAsia="宋体" w:cs="Times New Roman"/>
          <w:color w:val="auto"/>
        </w:rPr>
      </w:pPr>
      <w:r>
        <w:rPr>
          <w:rFonts w:hint="eastAsia" w:cs="Times New Roman"/>
          <w:color w:val="auto"/>
        </w:rPr>
        <w:t>绥棱县</w:t>
      </w:r>
      <w:r>
        <w:rPr>
          <w:rFonts w:cs="Times New Roman"/>
          <w:color w:val="auto"/>
        </w:rPr>
        <w:t>人民政府高度重视矿山地质环境保护与治理工作，建立了矿山地质环境保护与治理工作长效机制，截至2018年底，县域内已恢复治理的矿山7处，消除了矿区内潜在的地质灾害威胁，提高植被覆盖率，有效防治水土流失，涵养水源，改善当地地质环境条件。</w:t>
      </w:r>
    </w:p>
    <w:p>
      <w:pPr>
        <w:pStyle w:val="4"/>
        <w:spacing w:line="600" w:lineRule="exact"/>
        <w:ind w:firstLine="0" w:firstLineChars="0"/>
        <w:rPr>
          <w:rFonts w:hint="default" w:eastAsia="仿宋" w:cs="Times New Roman"/>
          <w:color w:val="auto"/>
          <w:sz w:val="30"/>
          <w:szCs w:val="30"/>
          <w:lang w:val="en-US" w:eastAsia="zh-CN"/>
        </w:rPr>
      </w:pPr>
      <w:r>
        <w:rPr>
          <w:rFonts w:hint="eastAsia" w:cs="Times New Roman"/>
          <w:color w:val="auto"/>
          <w:sz w:val="30"/>
          <w:szCs w:val="30"/>
        </w:rPr>
        <w:t>4</w:t>
      </w:r>
      <w:r>
        <w:rPr>
          <w:rFonts w:cs="Times New Roman"/>
          <w:color w:val="auto"/>
          <w:sz w:val="30"/>
          <w:szCs w:val="30"/>
        </w:rPr>
        <w:t>.1.</w:t>
      </w:r>
      <w:r>
        <w:rPr>
          <w:rFonts w:hint="eastAsia" w:cs="Times New Roman"/>
          <w:color w:val="auto"/>
          <w:sz w:val="30"/>
          <w:szCs w:val="30"/>
          <w:lang w:val="en-US" w:eastAsia="zh-CN"/>
        </w:rPr>
        <w:t>4地表水治理工作成效</w:t>
      </w:r>
    </w:p>
    <w:p>
      <w:pPr>
        <w:ind w:firstLine="560"/>
        <w:rPr>
          <w:rFonts w:cs="Times New Roman"/>
          <w:color w:val="auto"/>
        </w:rPr>
      </w:pPr>
      <w:r>
        <w:rPr>
          <w:rFonts w:cs="Times New Roman"/>
          <w:color w:val="auto"/>
        </w:rPr>
        <w:t>“十三五”期间，绥棱县</w:t>
      </w:r>
      <w:r>
        <w:rPr>
          <w:rFonts w:hint="eastAsia" w:cs="Times New Roman"/>
          <w:color w:val="auto"/>
        </w:rPr>
        <w:t>建设完成上集镇义发屯68户、靠山乡会山屯125户污水收集治理工程。全力推进畜禽污染防治，全县16家规模以上畜禽养殖粪污设施配套率达到95%以上，综合利用率达到100%。对克音河治理方案进行细化，制定责任清单，并聘请第三方编制了克音河水环境治理方案。</w:t>
      </w:r>
    </w:p>
    <w:p>
      <w:pPr>
        <w:pStyle w:val="4"/>
        <w:spacing w:line="600" w:lineRule="exact"/>
        <w:ind w:firstLine="0" w:firstLineChars="0"/>
        <w:rPr>
          <w:rFonts w:cs="Times New Roman"/>
          <w:color w:val="auto"/>
          <w:sz w:val="30"/>
          <w:szCs w:val="30"/>
        </w:rPr>
      </w:pPr>
      <w:r>
        <w:rPr>
          <w:rFonts w:hint="eastAsia" w:cs="Times New Roman"/>
          <w:color w:val="auto"/>
          <w:sz w:val="30"/>
          <w:szCs w:val="30"/>
        </w:rPr>
        <w:t>4</w:t>
      </w:r>
      <w:r>
        <w:rPr>
          <w:rFonts w:cs="Times New Roman"/>
          <w:color w:val="auto"/>
          <w:sz w:val="30"/>
          <w:szCs w:val="30"/>
        </w:rPr>
        <w:t>.1.</w:t>
      </w:r>
      <w:r>
        <w:rPr>
          <w:rFonts w:hint="eastAsia" w:cs="Times New Roman"/>
          <w:color w:val="auto"/>
          <w:sz w:val="30"/>
          <w:szCs w:val="30"/>
          <w:lang w:val="en-US" w:eastAsia="zh-CN"/>
        </w:rPr>
        <w:t>5</w:t>
      </w:r>
      <w:r>
        <w:rPr>
          <w:rFonts w:cs="Times New Roman"/>
          <w:color w:val="auto"/>
          <w:sz w:val="30"/>
          <w:szCs w:val="30"/>
        </w:rPr>
        <w:t>湿地保护成效</w:t>
      </w:r>
    </w:p>
    <w:p>
      <w:pPr>
        <w:ind w:firstLine="560"/>
        <w:rPr>
          <w:rFonts w:cs="Times New Roman"/>
          <w:color w:val="auto"/>
        </w:rPr>
      </w:pPr>
      <w:r>
        <w:rPr>
          <w:rFonts w:cs="Times New Roman"/>
          <w:color w:val="auto"/>
        </w:rPr>
        <w:t>“十三五”期间，绥棱县为改善湿地生态环境，高度重视水环境保护工作，通过对《水污染防治行动计划》（水十条）、《重点流域水污染防治规划（2016-2020年）》的落实及治理，绥棱县水质环境质量保持优良状态。绥棱县认真落实“河长制”及湿地保护责任制，开展河湖清“四乱”行动，严格落实土壤及农业农村污染防治工作制度，全县河流、湿地的生态环境明显改善。</w:t>
      </w:r>
    </w:p>
    <w:p>
      <w:pPr>
        <w:pStyle w:val="4"/>
        <w:spacing w:line="600" w:lineRule="exact"/>
        <w:ind w:firstLine="0" w:firstLineChars="0"/>
        <w:rPr>
          <w:rFonts w:cs="Times New Roman"/>
          <w:color w:val="auto"/>
          <w:sz w:val="30"/>
          <w:szCs w:val="30"/>
        </w:rPr>
      </w:pPr>
      <w:r>
        <w:rPr>
          <w:rFonts w:hint="eastAsia" w:cs="Times New Roman"/>
          <w:color w:val="auto"/>
          <w:sz w:val="30"/>
          <w:szCs w:val="30"/>
        </w:rPr>
        <w:t>4</w:t>
      </w:r>
      <w:r>
        <w:rPr>
          <w:rFonts w:cs="Times New Roman"/>
          <w:color w:val="auto"/>
          <w:sz w:val="30"/>
          <w:szCs w:val="30"/>
        </w:rPr>
        <w:t>.1.</w:t>
      </w:r>
      <w:r>
        <w:rPr>
          <w:rFonts w:hint="eastAsia" w:cs="Times New Roman"/>
          <w:color w:val="auto"/>
          <w:sz w:val="30"/>
          <w:szCs w:val="30"/>
          <w:lang w:val="en-US" w:eastAsia="zh-CN"/>
        </w:rPr>
        <w:t>6</w:t>
      </w:r>
      <w:r>
        <w:rPr>
          <w:rFonts w:cs="Times New Roman"/>
          <w:color w:val="auto"/>
          <w:sz w:val="30"/>
          <w:szCs w:val="30"/>
        </w:rPr>
        <w:t>森林资源质量和数量稳步增长</w:t>
      </w:r>
    </w:p>
    <w:p>
      <w:pPr>
        <w:ind w:firstLine="560"/>
        <w:rPr>
          <w:rFonts w:cs="Times New Roman"/>
          <w:color w:val="auto"/>
        </w:rPr>
      </w:pPr>
      <w:r>
        <w:rPr>
          <w:rFonts w:hint="eastAsia" w:cs="Times New Roman"/>
          <w:color w:val="auto"/>
          <w:lang w:eastAsia="zh-CN"/>
        </w:rPr>
        <w:t>截至2020年</w:t>
      </w:r>
      <w:r>
        <w:rPr>
          <w:rFonts w:cs="Times New Roman"/>
          <w:color w:val="auto"/>
        </w:rPr>
        <w:t>，绥棱县累计造林 57.15 万亩，城区新增植树 200 万株，新增绿地 10 公顷。全县林木在涵养水源、保持水土、改善生态环境、抵御自然灾害和保护人民群众生命财产安全等方面发挥了显著的生态功能及效益。绥棱县多年来一直重视森林资源和生物多样性的保护，通过保护和恢复山林植被、创造优越的生态环境和自然景观，使得全县森林植被类型和珍稀野生动植物得到有效保护、恢复和发展，改善了野生动物栖息环境。</w:t>
      </w:r>
    </w:p>
    <w:p>
      <w:pPr>
        <w:pStyle w:val="4"/>
        <w:spacing w:line="600" w:lineRule="exact"/>
        <w:ind w:firstLine="0" w:firstLineChars="0"/>
        <w:rPr>
          <w:rFonts w:cs="Times New Roman"/>
          <w:color w:val="auto"/>
          <w:sz w:val="30"/>
          <w:szCs w:val="30"/>
        </w:rPr>
      </w:pPr>
      <w:r>
        <w:rPr>
          <w:rFonts w:hint="eastAsia" w:cs="Times New Roman"/>
          <w:color w:val="auto"/>
          <w:sz w:val="30"/>
          <w:szCs w:val="30"/>
        </w:rPr>
        <w:t>4</w:t>
      </w:r>
      <w:r>
        <w:rPr>
          <w:rFonts w:cs="Times New Roman"/>
          <w:color w:val="auto"/>
          <w:sz w:val="30"/>
          <w:szCs w:val="30"/>
        </w:rPr>
        <w:t>.1.</w:t>
      </w:r>
      <w:r>
        <w:rPr>
          <w:rFonts w:hint="eastAsia" w:cs="Times New Roman"/>
          <w:color w:val="auto"/>
          <w:sz w:val="30"/>
          <w:szCs w:val="30"/>
          <w:lang w:val="en-US" w:eastAsia="zh-CN"/>
        </w:rPr>
        <w:t>7</w:t>
      </w:r>
      <w:r>
        <w:rPr>
          <w:rFonts w:cs="Times New Roman"/>
          <w:color w:val="auto"/>
          <w:sz w:val="30"/>
          <w:szCs w:val="30"/>
        </w:rPr>
        <w:t>城乡生态面貌显著提升</w:t>
      </w:r>
    </w:p>
    <w:p>
      <w:pPr>
        <w:ind w:firstLine="560"/>
        <w:rPr>
          <w:rFonts w:hint="eastAsia" w:cs="Times New Roman"/>
          <w:color w:val="auto"/>
          <w:lang w:eastAsia="zh-CN"/>
        </w:rPr>
      </w:pPr>
      <w:r>
        <w:rPr>
          <w:rFonts w:cs="Times New Roman"/>
          <w:color w:val="auto"/>
        </w:rPr>
        <w:t>“十三五”期间加强农田基础设施建设，实施高标准农田项目建设任务11.3987万亩；加强新技术推广应用，累计推广面积</w:t>
      </w:r>
      <w:r>
        <w:rPr>
          <w:rFonts w:hint="eastAsia" w:cs="Times New Roman"/>
          <w:color w:val="auto"/>
          <w:lang w:val="en-US" w:eastAsia="zh-CN"/>
        </w:rPr>
        <w:t>4960</w:t>
      </w:r>
      <w:r>
        <w:rPr>
          <w:rFonts w:cs="Times New Roman"/>
          <w:color w:val="auto"/>
        </w:rPr>
        <w:t>多万亩次，新增总产</w:t>
      </w:r>
      <w:r>
        <w:rPr>
          <w:rFonts w:hint="eastAsia" w:cs="Times New Roman"/>
          <w:color w:val="auto"/>
          <w:lang w:val="en-US" w:eastAsia="zh-CN"/>
        </w:rPr>
        <w:t>71081</w:t>
      </w:r>
      <w:r>
        <w:rPr>
          <w:rFonts w:cs="Times New Roman"/>
          <w:color w:val="auto"/>
        </w:rPr>
        <w:t>多万公斤；黑土地保护实施面积20万亩，覆盖6个乡镇13个村，黑土地土质得到了显著提升；积极推进农村面源污染防治。全面实施农村饮用水源保护工程，加强化肥、农药使用调控和引导，推广秸秆还田、粪肥有机化等综合利用措施；积极开展村庄清洁行动，以省里提出的“四清一改一绿”为主攻方向，以“去污增绿”为重要手段，“十三五”期间共清理围村、围路、围屯垃圾240514吨，清理边沟7618.6公里，清除柴草垛8505垛，拆除残垣断壁3394个，共实施农村改厕2629户。推进乡镇中心村生产生活污水和垃圾收集处置设施建设，有效遏制农村环境污染</w:t>
      </w:r>
      <w:r>
        <w:rPr>
          <w:rFonts w:hint="eastAsia" w:cs="Times New Roman"/>
          <w:color w:val="auto"/>
          <w:lang w:eastAsia="zh-CN"/>
        </w:rPr>
        <w:t>。</w:t>
      </w:r>
    </w:p>
    <w:p>
      <w:pPr>
        <w:ind w:firstLine="560"/>
        <w:rPr>
          <w:rFonts w:cs="Times New Roman"/>
          <w:color w:val="auto"/>
        </w:rPr>
      </w:pPr>
      <w:r>
        <w:rPr>
          <w:rFonts w:cs="Times New Roman"/>
          <w:color w:val="auto"/>
        </w:rPr>
        <w:t>绥棱县坚持治理和保护两手抓，强化乡镇环境污染整治工作，积极推进农村面源污染防治，有效遏制农村环境污染。加强生态文明建设，大力开展生态修复，在呼兰河流域双岔河、克音河</w:t>
      </w:r>
      <w:r>
        <w:rPr>
          <w:rFonts w:hint="eastAsia" w:cs="Times New Roman"/>
          <w:color w:val="auto"/>
        </w:rPr>
        <w:t>、</w:t>
      </w:r>
      <w:r>
        <w:rPr>
          <w:rFonts w:cs="Times New Roman"/>
          <w:color w:val="auto"/>
        </w:rPr>
        <w:t>靠山等乡镇实施东北黑土区侵蚀沟综合治理工程，治理水土流失面积 95.85 亩，保护耕地 1.04 万亩，绥棱县生态环境得到有效提升。</w:t>
      </w:r>
    </w:p>
    <w:p>
      <w:pPr>
        <w:pStyle w:val="3"/>
        <w:ind w:firstLine="0" w:firstLineChars="0"/>
        <w:rPr>
          <w:rFonts w:ascii="Times New Roman" w:hAnsi="Times New Roman" w:eastAsia="仿宋" w:cs="Times New Roman"/>
          <w:color w:val="auto"/>
        </w:rPr>
      </w:pPr>
      <w:bookmarkStart w:id="37" w:name="_Toc8944"/>
      <w:r>
        <w:rPr>
          <w:rFonts w:hint="eastAsia" w:ascii="Times New Roman" w:hAnsi="Times New Roman" w:eastAsia="仿宋" w:cs="Times New Roman"/>
          <w:color w:val="auto"/>
        </w:rPr>
        <w:t>4</w:t>
      </w:r>
      <w:r>
        <w:rPr>
          <w:rFonts w:ascii="Times New Roman" w:hAnsi="Times New Roman" w:eastAsia="仿宋" w:cs="Times New Roman"/>
          <w:color w:val="auto"/>
        </w:rPr>
        <w:t>.2面临挑战</w:t>
      </w:r>
      <w:bookmarkEnd w:id="37"/>
    </w:p>
    <w:p>
      <w:pPr>
        <w:ind w:firstLine="560"/>
        <w:rPr>
          <w:rFonts w:cs="Times New Roman"/>
          <w:color w:val="auto"/>
        </w:rPr>
      </w:pPr>
      <w:r>
        <w:rPr>
          <w:rFonts w:cs="Times New Roman"/>
          <w:color w:val="auto"/>
        </w:rPr>
        <w:t>随着我国步入新发展阶段，传统的粗放型发展模式已经难以为继，因不合理的开发利用而导致的土地利用格局失调、资源利用低效、生物多样性退化、生态系统功能受损等生态环境问题，已成为影响和制约中国社会经济发展的主要因素之一。</w:t>
      </w:r>
    </w:p>
    <w:p>
      <w:pPr>
        <w:ind w:firstLine="560"/>
        <w:rPr>
          <w:rFonts w:cs="Times New Roman"/>
          <w:color w:val="auto"/>
        </w:rPr>
      </w:pPr>
      <w:r>
        <w:rPr>
          <w:rFonts w:cs="Times New Roman"/>
          <w:color w:val="auto"/>
        </w:rPr>
        <w:t>党的十八大以来，以习近平同志为核心的党中央站在战略全局的高度，对生态文明建设和生态环境保护提出一系列新思想、新论断和新要求，首次把生态文明建设提到中国特色社会主义建设“五位一体”总体布局的战略高度。在对生态文明建设做出顶层设计后，党中央在《关于加快推进生态文明建设的意见》、《生态文明体制改革总体方案》、《关于坚持和完善中国特色社会主义制度推进国家治理体系和治理能力现代化若干重大问题的决定》等多项重要政策文件中均对生态保护修复提出了明确要求和部署。</w:t>
      </w:r>
    </w:p>
    <w:p>
      <w:pPr>
        <w:ind w:firstLine="560"/>
        <w:rPr>
          <w:rFonts w:cs="Times New Roman"/>
          <w:color w:val="auto"/>
        </w:rPr>
      </w:pPr>
      <w:r>
        <w:rPr>
          <w:rFonts w:cs="Times New Roman"/>
          <w:color w:val="auto"/>
        </w:rPr>
        <w:t>新时代，生态保护修复工作被赋予了全新的职责和使命，由过去单一要素的保护修复转变成为以多要素构成的统一的空间生态修复；由以往的单一目标向具有显著区域性、空间性、系统性、功能性、综合性等提升区域生态系统整体稳定性与安全性的目标转变，实现退化生态系统的“整体保护、系统修复、综合治理”。当前，我国生态文明建设正处在压力叠加、负重前行的关键期，已进入提供更多优质生态产品以满足人民日益增长的优美生态环境需要的攻坚期，高质量构建生态安全格局的任务艰巨。</w:t>
      </w:r>
    </w:p>
    <w:p>
      <w:pPr>
        <w:ind w:firstLine="560"/>
        <w:rPr>
          <w:rFonts w:cs="Times New Roman"/>
          <w:color w:val="auto"/>
        </w:rPr>
      </w:pPr>
      <w:r>
        <w:rPr>
          <w:rFonts w:cs="Times New Roman"/>
          <w:color w:val="auto"/>
        </w:rPr>
        <w:t>“十四五”时期是绥棱县由全面建成小康社会向基本实现社会主义现代化迈进的关键时期。科学编制绥棱县生态功能保护修复规划，正视突出生态问题，稳步推进全县生态保护修复、实行山水林田湖草沙整体保护、系统修复、综合治理，明确县域生态保护修复目标任务，确定生态修复重大工程，对筑牢生态安全屏障、增强生态系统固碳能力，提供优质生态产品具有关键性作用；对巩固全面建成小康社会成果、持续提升生态文明建设和生态环境保护水平、加快建设人与自然和谐共生的区域具有重要意义。</w:t>
      </w:r>
    </w:p>
    <w:p>
      <w:pPr>
        <w:pStyle w:val="20"/>
        <w:ind w:firstLine="600"/>
        <w:rPr>
          <w:rFonts w:cs="Times New Roman"/>
          <w:color w:val="auto"/>
        </w:rPr>
      </w:pPr>
    </w:p>
    <w:p>
      <w:pPr>
        <w:ind w:firstLine="560"/>
        <w:rPr>
          <w:rFonts w:cs="Times New Roman"/>
          <w:color w:val="auto"/>
        </w:rPr>
      </w:pPr>
    </w:p>
    <w:p>
      <w:pPr>
        <w:pStyle w:val="15"/>
        <w:ind w:left="560" w:firstLine="400"/>
        <w:rPr>
          <w:rFonts w:cs="Times New Roman"/>
          <w:color w:val="auto"/>
        </w:rPr>
      </w:pPr>
    </w:p>
    <w:p>
      <w:pPr>
        <w:ind w:firstLine="560"/>
        <w:rPr>
          <w:rFonts w:cs="Times New Roman"/>
          <w:color w:val="auto"/>
        </w:rPr>
      </w:pPr>
    </w:p>
    <w:p>
      <w:pPr>
        <w:pStyle w:val="15"/>
        <w:ind w:left="560" w:firstLine="400"/>
        <w:rPr>
          <w:rFonts w:cs="Times New Roman"/>
          <w:color w:val="auto"/>
        </w:rPr>
      </w:pPr>
    </w:p>
    <w:p>
      <w:pPr>
        <w:ind w:firstLine="560"/>
        <w:rPr>
          <w:rFonts w:cs="Times New Roman"/>
          <w:color w:val="auto"/>
        </w:rPr>
        <w:sectPr>
          <w:pgSz w:w="11906" w:h="16838"/>
          <w:pgMar w:top="1440" w:right="1800" w:bottom="1440" w:left="1800" w:header="851" w:footer="992" w:gutter="0"/>
          <w:cols w:space="425" w:num="1"/>
          <w:docGrid w:type="lines" w:linePitch="312" w:charSpace="0"/>
        </w:sectPr>
      </w:pPr>
    </w:p>
    <w:p>
      <w:pPr>
        <w:pStyle w:val="2"/>
        <w:ind w:firstLine="0" w:firstLineChars="0"/>
        <w:rPr>
          <w:rFonts w:hint="default" w:ascii="Times New Roman" w:hAnsi="Times New Roman" w:eastAsia="仿宋"/>
          <w:color w:val="auto"/>
        </w:rPr>
      </w:pPr>
      <w:bookmarkStart w:id="38" w:name="_Toc29067"/>
      <w:r>
        <w:rPr>
          <w:rFonts w:ascii="Times New Roman" w:hAnsi="Times New Roman" w:eastAsia="仿宋"/>
          <w:color w:val="auto"/>
        </w:rPr>
        <w:t>5</w:t>
      </w:r>
      <w:r>
        <w:rPr>
          <w:rFonts w:hint="default" w:ascii="Times New Roman" w:hAnsi="Times New Roman" w:eastAsia="仿宋"/>
          <w:color w:val="auto"/>
        </w:rPr>
        <w:t>生态问题识别</w:t>
      </w:r>
      <w:bookmarkEnd w:id="38"/>
    </w:p>
    <w:p>
      <w:pPr>
        <w:pStyle w:val="3"/>
        <w:ind w:firstLine="0" w:firstLineChars="0"/>
        <w:rPr>
          <w:rFonts w:ascii="Times New Roman" w:hAnsi="Times New Roman" w:eastAsia="仿宋" w:cs="Times New Roman"/>
          <w:color w:val="auto"/>
        </w:rPr>
      </w:pPr>
      <w:bookmarkStart w:id="39" w:name="_Toc10321"/>
      <w:r>
        <w:rPr>
          <w:rFonts w:hint="eastAsia" w:ascii="Times New Roman" w:hAnsi="Times New Roman" w:eastAsia="仿宋" w:cs="Times New Roman"/>
          <w:color w:val="auto"/>
        </w:rPr>
        <w:t>5</w:t>
      </w:r>
      <w:r>
        <w:rPr>
          <w:rFonts w:ascii="Times New Roman" w:hAnsi="Times New Roman" w:eastAsia="仿宋" w:cs="Times New Roman"/>
          <w:color w:val="auto"/>
        </w:rPr>
        <w:t>.</w:t>
      </w:r>
      <w:r>
        <w:rPr>
          <w:rFonts w:hint="eastAsia" w:ascii="Times New Roman" w:hAnsi="Times New Roman" w:eastAsia="仿宋" w:cs="Times New Roman"/>
          <w:color w:val="auto"/>
        </w:rPr>
        <w:t>1</w:t>
      </w:r>
      <w:r>
        <w:rPr>
          <w:rFonts w:ascii="Times New Roman" w:hAnsi="Times New Roman" w:eastAsia="仿宋" w:cs="Times New Roman"/>
          <w:color w:val="auto"/>
        </w:rPr>
        <w:t xml:space="preserve"> 生态系统现状分析</w:t>
      </w:r>
      <w:bookmarkEnd w:id="39"/>
    </w:p>
    <w:p>
      <w:pPr>
        <w:pStyle w:val="4"/>
        <w:spacing w:line="600" w:lineRule="exact"/>
        <w:ind w:firstLine="0" w:firstLineChars="0"/>
        <w:rPr>
          <w:rFonts w:cs="Times New Roman"/>
          <w:color w:val="auto"/>
          <w:sz w:val="30"/>
          <w:szCs w:val="30"/>
        </w:rPr>
      </w:pPr>
      <w:r>
        <w:rPr>
          <w:rFonts w:hint="eastAsia" w:cs="Times New Roman"/>
          <w:color w:val="auto"/>
          <w:sz w:val="30"/>
          <w:szCs w:val="30"/>
        </w:rPr>
        <w:t>5.1</w:t>
      </w:r>
      <w:r>
        <w:rPr>
          <w:rFonts w:cs="Times New Roman"/>
          <w:color w:val="auto"/>
          <w:sz w:val="30"/>
          <w:szCs w:val="30"/>
        </w:rPr>
        <w:t>.1水土流失现状</w:t>
      </w:r>
    </w:p>
    <w:p>
      <w:pPr>
        <w:ind w:firstLine="560"/>
        <w:rPr>
          <w:rFonts w:eastAsia="仿宋_GB2312" w:cs="Times New Roman"/>
          <w:color w:val="auto"/>
        </w:rPr>
      </w:pPr>
      <w:r>
        <w:rPr>
          <w:rFonts w:eastAsia="仿宋_GB2312" w:cs="Times New Roman"/>
          <w:color w:val="auto"/>
        </w:rPr>
        <w:t>根据《绥棱县水土保持规划》（2020-2030年），将绥棱县分为三个水土保持分区，Ⅰ区—西南部漫川漫岗水质维护土壤保持区、Ⅱ区—中部低山丘陵生态维护保土区和Ⅲ区—东北部低山水源涵养生态维护区。</w:t>
      </w:r>
    </w:p>
    <w:p>
      <w:pPr>
        <w:ind w:firstLine="560"/>
        <w:rPr>
          <w:rFonts w:eastAsia="仿宋_GB2312" w:cs="Times New Roman"/>
          <w:color w:val="auto"/>
        </w:rPr>
      </w:pPr>
      <w:r>
        <w:rPr>
          <w:rFonts w:eastAsia="仿宋_GB2312" w:cs="Times New Roman"/>
          <w:color w:val="auto"/>
        </w:rPr>
        <w:t>Ⅰ区—西南部漫川漫岗水质维护土壤保持区：包括绥棱镇、上集镇、双岔河镇、靠山乡、后头乡、长山镇、克音河乡、绥中乡、泥尔河乡、阁山镇、二六部队农场、三二部队农场。该区水土流失总面积为 525.14 km</w:t>
      </w:r>
      <w:r>
        <w:rPr>
          <w:rFonts w:eastAsia="仿宋_GB2312" w:cs="Times New Roman"/>
          <w:color w:val="auto"/>
          <w:vertAlign w:val="superscript"/>
        </w:rPr>
        <w:t>2</w:t>
      </w:r>
      <w:r>
        <w:rPr>
          <w:rFonts w:eastAsia="仿宋_GB2312" w:cs="Times New Roman"/>
          <w:color w:val="auto"/>
        </w:rPr>
        <w:t>，占本区土地面积的 41.14 %。其中轻度侵蚀面积为 501.07 km</w:t>
      </w:r>
      <w:r>
        <w:rPr>
          <w:rFonts w:eastAsia="仿宋_GB2312" w:cs="Times New Roman"/>
          <w:color w:val="auto"/>
          <w:vertAlign w:val="superscript"/>
        </w:rPr>
        <w:t>2</w:t>
      </w:r>
      <w:r>
        <w:rPr>
          <w:rFonts w:eastAsia="仿宋_GB2312" w:cs="Times New Roman"/>
          <w:color w:val="auto"/>
        </w:rPr>
        <w:t>，占本区水土流失总面积 97.36%；中度侵蚀面积为 19.07km</w:t>
      </w:r>
      <w:r>
        <w:rPr>
          <w:rFonts w:eastAsia="仿宋_GB2312" w:cs="Times New Roman"/>
          <w:color w:val="auto"/>
          <w:vertAlign w:val="superscript"/>
        </w:rPr>
        <w:t>2</w:t>
      </w:r>
      <w:r>
        <w:rPr>
          <w:rFonts w:eastAsia="仿宋_GB2312" w:cs="Times New Roman"/>
          <w:color w:val="auto"/>
        </w:rPr>
        <w:t>，占本区水土流失总面积 3.63 %；强烈侵蚀面积为 2.60 km</w:t>
      </w:r>
      <w:r>
        <w:rPr>
          <w:rFonts w:eastAsia="仿宋_GB2312" w:cs="Times New Roman"/>
          <w:color w:val="auto"/>
          <w:vertAlign w:val="superscript"/>
        </w:rPr>
        <w:t>2</w:t>
      </w:r>
      <w:r>
        <w:rPr>
          <w:rFonts w:eastAsia="仿宋_GB2312" w:cs="Times New Roman"/>
          <w:color w:val="auto"/>
        </w:rPr>
        <w:t>，占本区水土流失总面积 0.50 %；极强烈侵蚀面积为 1.21 km</w:t>
      </w:r>
      <w:r>
        <w:rPr>
          <w:rFonts w:eastAsia="仿宋_GB2312" w:cs="Times New Roman"/>
          <w:color w:val="auto"/>
          <w:vertAlign w:val="superscript"/>
        </w:rPr>
        <w:t>2</w:t>
      </w:r>
      <w:r>
        <w:rPr>
          <w:rFonts w:eastAsia="仿宋_GB2312" w:cs="Times New Roman"/>
          <w:color w:val="auto"/>
        </w:rPr>
        <w:t>，占本区水土流失总面积 0.23 %；剧烈侵蚀面积为 1.17 km</w:t>
      </w:r>
      <w:r>
        <w:rPr>
          <w:rFonts w:eastAsia="仿宋_GB2312" w:cs="Times New Roman"/>
          <w:color w:val="auto"/>
          <w:vertAlign w:val="superscript"/>
        </w:rPr>
        <w:t>2</w:t>
      </w:r>
      <w:r>
        <w:rPr>
          <w:rFonts w:eastAsia="仿宋_GB2312" w:cs="Times New Roman"/>
          <w:color w:val="auto"/>
        </w:rPr>
        <w:t>，占本区水土流失总面积 0.22 %。绥棱镇、二六部队农场和三二部队农场水土流失均为轻度侵蚀。</w:t>
      </w:r>
    </w:p>
    <w:p>
      <w:pPr>
        <w:ind w:firstLine="560"/>
        <w:rPr>
          <w:rFonts w:eastAsia="仿宋_GB2312" w:cs="Times New Roman"/>
          <w:color w:val="auto"/>
          <w:highlight w:val="yellow"/>
        </w:rPr>
      </w:pPr>
      <w:r>
        <w:rPr>
          <w:rFonts w:eastAsia="仿宋_GB2312" w:cs="Times New Roman"/>
          <w:color w:val="auto"/>
        </w:rPr>
        <w:t>本区为西南部漫川漫岗区，海拔低，地势起伏较大，土壤类型主要是以草甸土和黑钙土为主，还包括黑土、沼泽土。土壤多为块状结构，质地为重粘土，土壤抗蚀性较强。</w:t>
      </w:r>
    </w:p>
    <w:p>
      <w:pPr>
        <w:ind w:firstLine="560"/>
        <w:rPr>
          <w:rFonts w:eastAsia="仿宋_GB2312" w:cs="Times New Roman"/>
          <w:color w:val="auto"/>
        </w:rPr>
      </w:pPr>
      <w:r>
        <w:rPr>
          <w:rFonts w:eastAsia="仿宋_GB2312" w:cs="Times New Roman"/>
          <w:color w:val="auto"/>
        </w:rPr>
        <w:t>Ⅱ区—中部低山丘陵生态维护保土区：包括四海店镇、绥棱农场、海鹰农场、红光农场、81101 部队农场、阁山林场、四海店林场、半截河林场、三吉台林场。本区水土流失总面积为 153.20 km</w:t>
      </w:r>
      <w:r>
        <w:rPr>
          <w:rFonts w:eastAsia="仿宋_GB2312" w:cs="Times New Roman"/>
          <w:color w:val="auto"/>
          <w:vertAlign w:val="superscript"/>
        </w:rPr>
        <w:t>2</w:t>
      </w:r>
      <w:r>
        <w:rPr>
          <w:rFonts w:eastAsia="仿宋_GB2312" w:cs="Times New Roman"/>
          <w:color w:val="auto"/>
        </w:rPr>
        <w:t>，占本区土地面积的 19.24 %。其中轻度侵蚀面积为 152.03km</w:t>
      </w:r>
      <w:r>
        <w:rPr>
          <w:rFonts w:eastAsia="仿宋_GB2312" w:cs="Times New Roman"/>
          <w:color w:val="auto"/>
          <w:vertAlign w:val="superscript"/>
        </w:rPr>
        <w:t>2</w:t>
      </w:r>
      <w:r>
        <w:rPr>
          <w:rFonts w:eastAsia="仿宋_GB2312" w:cs="Times New Roman"/>
          <w:color w:val="auto"/>
        </w:rPr>
        <w:t>，占本区水土流失总面积 99.23 %；中度侵蚀面积为 0.82km</w:t>
      </w:r>
      <w:r>
        <w:rPr>
          <w:rFonts w:eastAsia="仿宋_GB2312" w:cs="Times New Roman"/>
          <w:color w:val="auto"/>
          <w:vertAlign w:val="superscript"/>
        </w:rPr>
        <w:t>2</w:t>
      </w:r>
      <w:r>
        <w:rPr>
          <w:rFonts w:eastAsia="仿宋_GB2312" w:cs="Times New Roman"/>
          <w:color w:val="auto"/>
        </w:rPr>
        <w:t>，占本区水土流失总面积 0.53 %；强烈侵蚀面积为 0.16 km</w:t>
      </w:r>
      <w:r>
        <w:rPr>
          <w:rFonts w:eastAsia="仿宋_GB2312" w:cs="Times New Roman"/>
          <w:color w:val="auto"/>
          <w:vertAlign w:val="superscript"/>
        </w:rPr>
        <w:t>2</w:t>
      </w:r>
      <w:r>
        <w:rPr>
          <w:rFonts w:eastAsia="仿宋_GB2312" w:cs="Times New Roman"/>
          <w:color w:val="auto"/>
        </w:rPr>
        <w:t>，占本区水土流失总面积 0.10 %；极强烈侵蚀面积为 0.10 km</w:t>
      </w:r>
      <w:r>
        <w:rPr>
          <w:rFonts w:eastAsia="仿宋_GB2312" w:cs="Times New Roman"/>
          <w:color w:val="auto"/>
          <w:vertAlign w:val="superscript"/>
        </w:rPr>
        <w:t>2</w:t>
      </w:r>
      <w:r>
        <w:rPr>
          <w:rFonts w:eastAsia="仿宋_GB2312" w:cs="Times New Roman"/>
          <w:color w:val="auto"/>
        </w:rPr>
        <w:t>，占本区水土流失总面积 0.06 %；</w:t>
      </w:r>
    </w:p>
    <w:p>
      <w:pPr>
        <w:ind w:firstLine="0" w:firstLineChars="0"/>
        <w:rPr>
          <w:rFonts w:eastAsia="仿宋_GB2312" w:cs="Times New Roman"/>
          <w:color w:val="auto"/>
        </w:rPr>
      </w:pPr>
      <w:r>
        <w:rPr>
          <w:rFonts w:eastAsia="仿宋_GB2312" w:cs="Times New Roman"/>
          <w:color w:val="auto"/>
        </w:rPr>
        <w:t>剧烈侵蚀面积为 0.11 km</w:t>
      </w:r>
      <w:r>
        <w:rPr>
          <w:rFonts w:eastAsia="仿宋_GB2312" w:cs="Times New Roman"/>
          <w:color w:val="auto"/>
          <w:vertAlign w:val="superscript"/>
        </w:rPr>
        <w:t>2</w:t>
      </w:r>
      <w:r>
        <w:rPr>
          <w:rFonts w:eastAsia="仿宋_GB2312" w:cs="Times New Roman"/>
          <w:color w:val="auto"/>
        </w:rPr>
        <w:t>，占本区水土流失总面积 0.07 %。绥棱农场、海鹰农场、红光农场、81101 部队农场、阁山林场、四海店林场、半截河林场、三吉台林场水土流失均为轻度侵蚀。</w:t>
      </w:r>
    </w:p>
    <w:p>
      <w:pPr>
        <w:ind w:firstLine="560"/>
        <w:rPr>
          <w:rFonts w:eastAsia="仿宋_GB2312" w:cs="Times New Roman"/>
          <w:color w:val="auto"/>
        </w:rPr>
      </w:pPr>
      <w:r>
        <w:rPr>
          <w:rFonts w:eastAsia="仿宋_GB2312" w:cs="Times New Roman"/>
          <w:color w:val="auto"/>
        </w:rPr>
        <w:t>Ⅲ区—东北部低山水源涵养生态维护区：位于绥棱县的东北部，本区水土流失总面积为 0.02 km</w:t>
      </w:r>
      <w:r>
        <w:rPr>
          <w:rFonts w:eastAsia="仿宋_GB2312" w:cs="Times New Roman"/>
          <w:color w:val="auto"/>
          <w:vertAlign w:val="superscript"/>
        </w:rPr>
        <w:t>2</w:t>
      </w:r>
      <w:r>
        <w:rPr>
          <w:rFonts w:eastAsia="仿宋_GB2312" w:cs="Times New Roman"/>
          <w:color w:val="auto"/>
        </w:rPr>
        <w:t>，占本区土地面积的 0.001%。其中轻度侵蚀面积为 0.02 km</w:t>
      </w:r>
      <w:r>
        <w:rPr>
          <w:rFonts w:eastAsia="仿宋_GB2312" w:cs="Times New Roman"/>
          <w:color w:val="auto"/>
          <w:vertAlign w:val="superscript"/>
        </w:rPr>
        <w:t>2</w:t>
      </w:r>
      <w:r>
        <w:rPr>
          <w:rFonts w:eastAsia="仿宋_GB2312" w:cs="Times New Roman"/>
          <w:color w:val="auto"/>
        </w:rPr>
        <w:t>，占本区水土流失总面积 100%。本区地势起伏较大，土壤类型以黑土、黑钙土为主，土壤抗蚀性差。水土流失面积比例小，以轻度侵蚀为主。</w:t>
      </w:r>
    </w:p>
    <w:p>
      <w:pPr>
        <w:pStyle w:val="6"/>
        <w:ind w:left="0" w:firstLine="0" w:firstLineChars="0"/>
        <w:jc w:val="center"/>
        <w:rPr>
          <w:rFonts w:cs="Times New Roman"/>
          <w:b/>
          <w:bCs/>
          <w:color w:val="auto"/>
        </w:rPr>
      </w:pPr>
      <w:r>
        <w:rPr>
          <w:rFonts w:cs="Times New Roman"/>
          <w:b/>
          <w:bCs/>
          <w:color w:val="auto"/>
        </w:rPr>
        <w:t>表</w:t>
      </w:r>
      <w:r>
        <w:rPr>
          <w:rFonts w:hint="eastAsia" w:cs="Times New Roman"/>
          <w:b/>
          <w:bCs/>
          <w:color w:val="auto"/>
        </w:rPr>
        <w:t>5-1</w:t>
      </w:r>
      <w:r>
        <w:rPr>
          <w:rFonts w:cs="Times New Roman"/>
          <w:b/>
          <w:bCs/>
          <w:color w:val="auto"/>
        </w:rPr>
        <w:t xml:space="preserve"> 水土流失现状一览表</w:t>
      </w:r>
    </w:p>
    <w:tbl>
      <w:tblPr>
        <w:tblStyle w:val="1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6"/>
        <w:gridCol w:w="2355"/>
        <w:gridCol w:w="1050"/>
        <w:gridCol w:w="1110"/>
        <w:gridCol w:w="1050"/>
        <w:gridCol w:w="1065"/>
        <w:gridCol w:w="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trPr>
        <w:tc>
          <w:tcPr>
            <w:tcW w:w="916" w:type="dxa"/>
            <w:vMerge w:val="restart"/>
            <w:vAlign w:val="center"/>
          </w:tcPr>
          <w:p>
            <w:pPr>
              <w:pStyle w:val="6"/>
              <w:ind w:left="0" w:firstLine="0" w:firstLineChars="0"/>
              <w:jc w:val="center"/>
              <w:rPr>
                <w:rFonts w:cs="Times New Roman"/>
                <w:color w:val="auto"/>
                <w:sz w:val="24"/>
                <w:szCs w:val="24"/>
              </w:rPr>
            </w:pPr>
            <w:r>
              <w:rPr>
                <w:rFonts w:cs="Times New Roman"/>
                <w:color w:val="auto"/>
                <w:sz w:val="24"/>
                <w:szCs w:val="24"/>
              </w:rPr>
              <w:t>分区</w:t>
            </w:r>
          </w:p>
        </w:tc>
        <w:tc>
          <w:tcPr>
            <w:tcW w:w="2355" w:type="dxa"/>
            <w:vMerge w:val="restart"/>
            <w:vAlign w:val="center"/>
          </w:tcPr>
          <w:p>
            <w:pPr>
              <w:pStyle w:val="6"/>
              <w:ind w:left="0" w:firstLine="0" w:firstLineChars="0"/>
              <w:jc w:val="center"/>
              <w:rPr>
                <w:rFonts w:cs="Times New Roman"/>
                <w:color w:val="auto"/>
                <w:sz w:val="24"/>
                <w:szCs w:val="24"/>
              </w:rPr>
            </w:pPr>
            <w:r>
              <w:rPr>
                <w:rFonts w:cs="Times New Roman"/>
                <w:color w:val="auto"/>
                <w:sz w:val="24"/>
                <w:szCs w:val="24"/>
              </w:rPr>
              <w:t>水土流失面积（km</w:t>
            </w:r>
            <w:r>
              <w:rPr>
                <w:rFonts w:cs="Times New Roman"/>
                <w:color w:val="auto"/>
                <w:sz w:val="24"/>
                <w:szCs w:val="24"/>
                <w:vertAlign w:val="superscript"/>
              </w:rPr>
              <w:t>2</w:t>
            </w:r>
            <w:r>
              <w:rPr>
                <w:rFonts w:cs="Times New Roman"/>
                <w:color w:val="auto"/>
                <w:sz w:val="24"/>
                <w:szCs w:val="24"/>
              </w:rPr>
              <w:t>）</w:t>
            </w:r>
          </w:p>
        </w:tc>
        <w:tc>
          <w:tcPr>
            <w:tcW w:w="5251" w:type="dxa"/>
            <w:gridSpan w:val="5"/>
            <w:vAlign w:val="center"/>
          </w:tcPr>
          <w:p>
            <w:pPr>
              <w:pStyle w:val="6"/>
              <w:ind w:left="0" w:firstLine="0" w:firstLineChars="0"/>
              <w:jc w:val="center"/>
              <w:rPr>
                <w:rFonts w:cs="Times New Roman"/>
                <w:color w:val="auto"/>
                <w:sz w:val="24"/>
                <w:szCs w:val="24"/>
              </w:rPr>
            </w:pPr>
            <w:r>
              <w:rPr>
                <w:rFonts w:cs="Times New Roman"/>
                <w:color w:val="auto"/>
                <w:sz w:val="24"/>
                <w:szCs w:val="24"/>
              </w:rPr>
              <w:t>水土流失程度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916" w:type="dxa"/>
            <w:vMerge w:val="continue"/>
            <w:vAlign w:val="center"/>
          </w:tcPr>
          <w:p>
            <w:pPr>
              <w:pStyle w:val="6"/>
              <w:ind w:left="0" w:firstLine="0" w:firstLineChars="0"/>
              <w:jc w:val="center"/>
              <w:rPr>
                <w:rFonts w:cs="Times New Roman"/>
                <w:color w:val="auto"/>
              </w:rPr>
            </w:pPr>
          </w:p>
        </w:tc>
        <w:tc>
          <w:tcPr>
            <w:tcW w:w="2355" w:type="dxa"/>
            <w:vMerge w:val="continue"/>
            <w:vAlign w:val="center"/>
          </w:tcPr>
          <w:p>
            <w:pPr>
              <w:pStyle w:val="6"/>
              <w:ind w:left="0" w:firstLine="0" w:firstLineChars="0"/>
              <w:jc w:val="center"/>
              <w:rPr>
                <w:rFonts w:cs="Times New Roman"/>
                <w:color w:val="auto"/>
              </w:rPr>
            </w:pPr>
          </w:p>
        </w:tc>
        <w:tc>
          <w:tcPr>
            <w:tcW w:w="1050" w:type="dxa"/>
            <w:vAlign w:val="center"/>
          </w:tcPr>
          <w:p>
            <w:pPr>
              <w:pStyle w:val="6"/>
              <w:ind w:left="0" w:firstLine="0" w:firstLineChars="0"/>
              <w:jc w:val="center"/>
              <w:rPr>
                <w:rFonts w:cs="Times New Roman"/>
                <w:color w:val="auto"/>
                <w:sz w:val="24"/>
                <w:szCs w:val="24"/>
              </w:rPr>
            </w:pPr>
            <w:r>
              <w:rPr>
                <w:rFonts w:cs="Times New Roman"/>
                <w:color w:val="auto"/>
                <w:sz w:val="24"/>
                <w:szCs w:val="24"/>
              </w:rPr>
              <w:t>轻度</w:t>
            </w:r>
          </w:p>
        </w:tc>
        <w:tc>
          <w:tcPr>
            <w:tcW w:w="1110" w:type="dxa"/>
            <w:vAlign w:val="center"/>
          </w:tcPr>
          <w:p>
            <w:pPr>
              <w:pStyle w:val="6"/>
              <w:ind w:left="0" w:firstLine="0" w:firstLineChars="0"/>
              <w:jc w:val="center"/>
              <w:rPr>
                <w:rFonts w:cs="Times New Roman"/>
                <w:color w:val="auto"/>
                <w:sz w:val="24"/>
                <w:szCs w:val="24"/>
              </w:rPr>
            </w:pPr>
            <w:r>
              <w:rPr>
                <w:rFonts w:cs="Times New Roman"/>
                <w:color w:val="auto"/>
                <w:sz w:val="24"/>
                <w:szCs w:val="24"/>
              </w:rPr>
              <w:t>中度</w:t>
            </w:r>
          </w:p>
        </w:tc>
        <w:tc>
          <w:tcPr>
            <w:tcW w:w="1050" w:type="dxa"/>
            <w:vAlign w:val="center"/>
          </w:tcPr>
          <w:p>
            <w:pPr>
              <w:pStyle w:val="6"/>
              <w:ind w:left="0" w:firstLine="0" w:firstLineChars="0"/>
              <w:jc w:val="center"/>
              <w:rPr>
                <w:rFonts w:cs="Times New Roman"/>
                <w:color w:val="auto"/>
                <w:sz w:val="24"/>
                <w:szCs w:val="24"/>
              </w:rPr>
            </w:pPr>
            <w:r>
              <w:rPr>
                <w:rFonts w:cs="Times New Roman"/>
                <w:color w:val="auto"/>
                <w:sz w:val="24"/>
                <w:szCs w:val="24"/>
              </w:rPr>
              <w:t>强烈</w:t>
            </w:r>
          </w:p>
        </w:tc>
        <w:tc>
          <w:tcPr>
            <w:tcW w:w="1065" w:type="dxa"/>
            <w:vAlign w:val="center"/>
          </w:tcPr>
          <w:p>
            <w:pPr>
              <w:pStyle w:val="6"/>
              <w:ind w:left="0" w:firstLine="0" w:firstLineChars="0"/>
              <w:jc w:val="center"/>
              <w:rPr>
                <w:rFonts w:cs="Times New Roman"/>
                <w:color w:val="auto"/>
                <w:sz w:val="24"/>
                <w:szCs w:val="24"/>
              </w:rPr>
            </w:pPr>
            <w:r>
              <w:rPr>
                <w:rFonts w:cs="Times New Roman"/>
                <w:color w:val="auto"/>
                <w:sz w:val="24"/>
                <w:szCs w:val="24"/>
              </w:rPr>
              <w:t>极强</w:t>
            </w:r>
          </w:p>
        </w:tc>
        <w:tc>
          <w:tcPr>
            <w:tcW w:w="976" w:type="dxa"/>
            <w:vAlign w:val="center"/>
          </w:tcPr>
          <w:p>
            <w:pPr>
              <w:pStyle w:val="6"/>
              <w:ind w:left="0" w:firstLine="0" w:firstLineChars="0"/>
              <w:jc w:val="center"/>
              <w:rPr>
                <w:rFonts w:cs="Times New Roman"/>
                <w:color w:val="auto"/>
                <w:sz w:val="24"/>
                <w:szCs w:val="24"/>
              </w:rPr>
            </w:pPr>
            <w:r>
              <w:rPr>
                <w:rFonts w:cs="Times New Roman"/>
                <w:color w:val="auto"/>
                <w:sz w:val="24"/>
                <w:szCs w:val="24"/>
              </w:rPr>
              <w:t>剧烈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6" w:type="dxa"/>
            <w:vAlign w:val="center"/>
          </w:tcPr>
          <w:p>
            <w:pPr>
              <w:pStyle w:val="6"/>
              <w:ind w:left="0" w:firstLine="0" w:firstLineChars="0"/>
              <w:jc w:val="center"/>
              <w:rPr>
                <w:rFonts w:cs="Times New Roman"/>
                <w:color w:val="auto"/>
                <w:sz w:val="24"/>
                <w:szCs w:val="24"/>
              </w:rPr>
            </w:pPr>
            <w:r>
              <w:rPr>
                <w:rFonts w:cs="Times New Roman"/>
                <w:color w:val="auto"/>
                <w:sz w:val="24"/>
                <w:szCs w:val="24"/>
              </w:rPr>
              <w:t>I区</w:t>
            </w:r>
          </w:p>
        </w:tc>
        <w:tc>
          <w:tcPr>
            <w:tcW w:w="2355" w:type="dxa"/>
            <w:vAlign w:val="center"/>
          </w:tcPr>
          <w:p>
            <w:pPr>
              <w:pStyle w:val="6"/>
              <w:ind w:left="0" w:firstLine="0" w:firstLineChars="0"/>
              <w:jc w:val="center"/>
              <w:rPr>
                <w:rFonts w:cs="Times New Roman"/>
                <w:color w:val="auto"/>
                <w:sz w:val="24"/>
                <w:szCs w:val="24"/>
              </w:rPr>
            </w:pPr>
            <w:r>
              <w:rPr>
                <w:rFonts w:cs="Times New Roman"/>
                <w:color w:val="auto"/>
                <w:sz w:val="24"/>
                <w:szCs w:val="24"/>
              </w:rPr>
              <w:t>525.14</w:t>
            </w:r>
          </w:p>
        </w:tc>
        <w:tc>
          <w:tcPr>
            <w:tcW w:w="1050" w:type="dxa"/>
            <w:vAlign w:val="center"/>
          </w:tcPr>
          <w:p>
            <w:pPr>
              <w:pStyle w:val="6"/>
              <w:ind w:left="0" w:firstLine="0" w:firstLineChars="0"/>
              <w:jc w:val="center"/>
              <w:rPr>
                <w:rFonts w:cs="Times New Roman"/>
                <w:color w:val="auto"/>
                <w:sz w:val="24"/>
                <w:szCs w:val="24"/>
              </w:rPr>
            </w:pPr>
            <w:r>
              <w:rPr>
                <w:rFonts w:cs="Times New Roman"/>
                <w:color w:val="auto"/>
                <w:sz w:val="24"/>
                <w:szCs w:val="24"/>
              </w:rPr>
              <w:t>501.07</w:t>
            </w:r>
          </w:p>
        </w:tc>
        <w:tc>
          <w:tcPr>
            <w:tcW w:w="1110" w:type="dxa"/>
            <w:vAlign w:val="center"/>
          </w:tcPr>
          <w:p>
            <w:pPr>
              <w:pStyle w:val="6"/>
              <w:ind w:left="0" w:firstLine="0" w:firstLineChars="0"/>
              <w:jc w:val="center"/>
              <w:rPr>
                <w:rFonts w:cs="Times New Roman"/>
                <w:color w:val="auto"/>
                <w:sz w:val="24"/>
                <w:szCs w:val="24"/>
              </w:rPr>
            </w:pPr>
            <w:r>
              <w:rPr>
                <w:rFonts w:cs="Times New Roman"/>
                <w:color w:val="auto"/>
                <w:sz w:val="24"/>
                <w:szCs w:val="24"/>
              </w:rPr>
              <w:t>19.07</w:t>
            </w:r>
          </w:p>
        </w:tc>
        <w:tc>
          <w:tcPr>
            <w:tcW w:w="1050" w:type="dxa"/>
            <w:vAlign w:val="center"/>
          </w:tcPr>
          <w:p>
            <w:pPr>
              <w:pStyle w:val="6"/>
              <w:ind w:left="0" w:firstLine="0" w:firstLineChars="0"/>
              <w:jc w:val="center"/>
              <w:rPr>
                <w:rFonts w:cs="Times New Roman"/>
                <w:color w:val="auto"/>
                <w:sz w:val="24"/>
                <w:szCs w:val="24"/>
              </w:rPr>
            </w:pPr>
            <w:r>
              <w:rPr>
                <w:rFonts w:cs="Times New Roman"/>
                <w:color w:val="auto"/>
                <w:sz w:val="24"/>
                <w:szCs w:val="24"/>
              </w:rPr>
              <w:t>2.61</w:t>
            </w:r>
          </w:p>
        </w:tc>
        <w:tc>
          <w:tcPr>
            <w:tcW w:w="1065" w:type="dxa"/>
            <w:vAlign w:val="center"/>
          </w:tcPr>
          <w:p>
            <w:pPr>
              <w:pStyle w:val="6"/>
              <w:ind w:left="0" w:firstLine="0" w:firstLineChars="0"/>
              <w:jc w:val="center"/>
              <w:rPr>
                <w:rFonts w:cs="Times New Roman"/>
                <w:color w:val="auto"/>
                <w:sz w:val="24"/>
                <w:szCs w:val="24"/>
              </w:rPr>
            </w:pPr>
            <w:r>
              <w:rPr>
                <w:rFonts w:cs="Times New Roman"/>
                <w:color w:val="auto"/>
                <w:sz w:val="24"/>
                <w:szCs w:val="24"/>
              </w:rPr>
              <w:t>1.21</w:t>
            </w:r>
          </w:p>
        </w:tc>
        <w:tc>
          <w:tcPr>
            <w:tcW w:w="976" w:type="dxa"/>
            <w:vAlign w:val="center"/>
          </w:tcPr>
          <w:p>
            <w:pPr>
              <w:pStyle w:val="6"/>
              <w:ind w:left="0" w:firstLine="0" w:firstLineChars="0"/>
              <w:jc w:val="center"/>
              <w:rPr>
                <w:rFonts w:cs="Times New Roman"/>
                <w:color w:val="auto"/>
                <w:sz w:val="24"/>
                <w:szCs w:val="24"/>
              </w:rPr>
            </w:pPr>
            <w:r>
              <w:rPr>
                <w:rFonts w:cs="Times New Roman"/>
                <w:color w:val="auto"/>
                <w:sz w:val="24"/>
                <w:szCs w:val="24"/>
              </w:rPr>
              <w:t>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6" w:type="dxa"/>
            <w:vAlign w:val="center"/>
          </w:tcPr>
          <w:p>
            <w:pPr>
              <w:pStyle w:val="6"/>
              <w:ind w:left="0" w:firstLine="0" w:firstLineChars="0"/>
              <w:jc w:val="center"/>
              <w:rPr>
                <w:rFonts w:cs="Times New Roman"/>
                <w:color w:val="auto"/>
                <w:sz w:val="24"/>
                <w:szCs w:val="24"/>
              </w:rPr>
            </w:pPr>
            <w:r>
              <w:rPr>
                <w:rFonts w:cs="Times New Roman"/>
                <w:color w:val="auto"/>
                <w:sz w:val="24"/>
                <w:szCs w:val="24"/>
              </w:rPr>
              <w:t>II区</w:t>
            </w:r>
          </w:p>
        </w:tc>
        <w:tc>
          <w:tcPr>
            <w:tcW w:w="2355" w:type="dxa"/>
            <w:vAlign w:val="center"/>
          </w:tcPr>
          <w:p>
            <w:pPr>
              <w:pStyle w:val="6"/>
              <w:ind w:left="0" w:firstLine="0" w:firstLineChars="0"/>
              <w:jc w:val="center"/>
              <w:rPr>
                <w:rFonts w:cs="Times New Roman"/>
                <w:color w:val="auto"/>
                <w:sz w:val="24"/>
                <w:szCs w:val="24"/>
              </w:rPr>
            </w:pPr>
            <w:r>
              <w:rPr>
                <w:rFonts w:cs="Times New Roman"/>
                <w:color w:val="auto"/>
                <w:sz w:val="24"/>
                <w:szCs w:val="24"/>
              </w:rPr>
              <w:t>153.2</w:t>
            </w:r>
          </w:p>
        </w:tc>
        <w:tc>
          <w:tcPr>
            <w:tcW w:w="1050" w:type="dxa"/>
            <w:vAlign w:val="center"/>
          </w:tcPr>
          <w:p>
            <w:pPr>
              <w:pStyle w:val="6"/>
              <w:ind w:left="0" w:firstLine="0" w:firstLineChars="0"/>
              <w:jc w:val="center"/>
              <w:rPr>
                <w:rFonts w:cs="Times New Roman"/>
                <w:color w:val="auto"/>
                <w:sz w:val="24"/>
                <w:szCs w:val="24"/>
              </w:rPr>
            </w:pPr>
            <w:r>
              <w:rPr>
                <w:rFonts w:cs="Times New Roman"/>
                <w:color w:val="auto"/>
                <w:sz w:val="24"/>
                <w:szCs w:val="24"/>
              </w:rPr>
              <w:t>152.03</w:t>
            </w:r>
          </w:p>
        </w:tc>
        <w:tc>
          <w:tcPr>
            <w:tcW w:w="1110" w:type="dxa"/>
            <w:vAlign w:val="center"/>
          </w:tcPr>
          <w:p>
            <w:pPr>
              <w:pStyle w:val="6"/>
              <w:ind w:left="0" w:firstLine="0" w:firstLineChars="0"/>
              <w:jc w:val="center"/>
              <w:rPr>
                <w:rFonts w:cs="Times New Roman"/>
                <w:color w:val="auto"/>
                <w:sz w:val="24"/>
                <w:szCs w:val="24"/>
              </w:rPr>
            </w:pPr>
            <w:r>
              <w:rPr>
                <w:rFonts w:cs="Times New Roman"/>
                <w:color w:val="auto"/>
                <w:sz w:val="24"/>
                <w:szCs w:val="24"/>
              </w:rPr>
              <w:t>0.82</w:t>
            </w:r>
          </w:p>
        </w:tc>
        <w:tc>
          <w:tcPr>
            <w:tcW w:w="1050" w:type="dxa"/>
            <w:vAlign w:val="center"/>
          </w:tcPr>
          <w:p>
            <w:pPr>
              <w:pStyle w:val="6"/>
              <w:ind w:left="0" w:firstLine="0" w:firstLineChars="0"/>
              <w:jc w:val="center"/>
              <w:rPr>
                <w:rFonts w:cs="Times New Roman"/>
                <w:color w:val="auto"/>
                <w:sz w:val="24"/>
                <w:szCs w:val="24"/>
              </w:rPr>
            </w:pPr>
            <w:r>
              <w:rPr>
                <w:rFonts w:cs="Times New Roman"/>
                <w:color w:val="auto"/>
                <w:sz w:val="24"/>
                <w:szCs w:val="24"/>
              </w:rPr>
              <w:t>0.16</w:t>
            </w:r>
          </w:p>
        </w:tc>
        <w:tc>
          <w:tcPr>
            <w:tcW w:w="1065" w:type="dxa"/>
            <w:vAlign w:val="center"/>
          </w:tcPr>
          <w:p>
            <w:pPr>
              <w:pStyle w:val="6"/>
              <w:ind w:left="0" w:firstLine="0" w:firstLineChars="0"/>
              <w:jc w:val="center"/>
              <w:rPr>
                <w:rFonts w:cs="Times New Roman"/>
                <w:color w:val="auto"/>
                <w:sz w:val="24"/>
                <w:szCs w:val="24"/>
              </w:rPr>
            </w:pPr>
            <w:r>
              <w:rPr>
                <w:rFonts w:cs="Times New Roman"/>
                <w:color w:val="auto"/>
                <w:sz w:val="24"/>
                <w:szCs w:val="24"/>
              </w:rPr>
              <w:t>0.1</w:t>
            </w:r>
          </w:p>
        </w:tc>
        <w:tc>
          <w:tcPr>
            <w:tcW w:w="976" w:type="dxa"/>
            <w:vAlign w:val="center"/>
          </w:tcPr>
          <w:p>
            <w:pPr>
              <w:pStyle w:val="6"/>
              <w:ind w:left="0" w:firstLine="0" w:firstLineChars="0"/>
              <w:jc w:val="center"/>
              <w:rPr>
                <w:rFonts w:cs="Times New Roman"/>
                <w:color w:val="auto"/>
                <w:sz w:val="24"/>
                <w:szCs w:val="24"/>
              </w:rPr>
            </w:pPr>
            <w:r>
              <w:rPr>
                <w:rFonts w:cs="Times New Roman"/>
                <w:color w:val="auto"/>
                <w:sz w:val="24"/>
                <w:szCs w:val="24"/>
              </w:rPr>
              <w:t>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6" w:type="dxa"/>
            <w:vAlign w:val="center"/>
          </w:tcPr>
          <w:p>
            <w:pPr>
              <w:pStyle w:val="6"/>
              <w:ind w:left="0" w:firstLine="0" w:firstLineChars="0"/>
              <w:jc w:val="center"/>
              <w:rPr>
                <w:rFonts w:cs="Times New Roman"/>
                <w:color w:val="auto"/>
                <w:sz w:val="24"/>
                <w:szCs w:val="24"/>
              </w:rPr>
            </w:pPr>
            <w:r>
              <w:rPr>
                <w:rFonts w:cs="Times New Roman"/>
                <w:color w:val="auto"/>
                <w:sz w:val="24"/>
                <w:szCs w:val="24"/>
              </w:rPr>
              <w:t>III区</w:t>
            </w:r>
          </w:p>
        </w:tc>
        <w:tc>
          <w:tcPr>
            <w:tcW w:w="2355" w:type="dxa"/>
            <w:vAlign w:val="center"/>
          </w:tcPr>
          <w:p>
            <w:pPr>
              <w:pStyle w:val="6"/>
              <w:ind w:left="0" w:firstLine="0" w:firstLineChars="0"/>
              <w:jc w:val="center"/>
              <w:rPr>
                <w:rFonts w:cs="Times New Roman"/>
                <w:color w:val="auto"/>
                <w:sz w:val="24"/>
                <w:szCs w:val="24"/>
              </w:rPr>
            </w:pPr>
            <w:r>
              <w:rPr>
                <w:rFonts w:cs="Times New Roman"/>
                <w:color w:val="auto"/>
                <w:sz w:val="24"/>
                <w:szCs w:val="24"/>
              </w:rPr>
              <w:t>0.02</w:t>
            </w:r>
          </w:p>
        </w:tc>
        <w:tc>
          <w:tcPr>
            <w:tcW w:w="1050" w:type="dxa"/>
            <w:vAlign w:val="center"/>
          </w:tcPr>
          <w:p>
            <w:pPr>
              <w:pStyle w:val="6"/>
              <w:ind w:left="0" w:firstLine="0" w:firstLineChars="0"/>
              <w:jc w:val="center"/>
              <w:rPr>
                <w:rFonts w:cs="Times New Roman"/>
                <w:color w:val="auto"/>
                <w:sz w:val="24"/>
                <w:szCs w:val="24"/>
              </w:rPr>
            </w:pPr>
            <w:r>
              <w:rPr>
                <w:rFonts w:cs="Times New Roman"/>
                <w:color w:val="auto"/>
                <w:sz w:val="24"/>
                <w:szCs w:val="24"/>
              </w:rPr>
              <w:t>0.02</w:t>
            </w:r>
          </w:p>
        </w:tc>
        <w:tc>
          <w:tcPr>
            <w:tcW w:w="1110" w:type="dxa"/>
            <w:vAlign w:val="center"/>
          </w:tcPr>
          <w:p>
            <w:pPr>
              <w:pStyle w:val="6"/>
              <w:ind w:left="0" w:firstLine="0" w:firstLineChars="0"/>
              <w:jc w:val="center"/>
              <w:rPr>
                <w:rFonts w:cs="Times New Roman"/>
                <w:color w:val="auto"/>
                <w:sz w:val="24"/>
                <w:szCs w:val="24"/>
              </w:rPr>
            </w:pPr>
            <w:r>
              <w:rPr>
                <w:rFonts w:cs="Times New Roman"/>
                <w:color w:val="auto"/>
                <w:sz w:val="24"/>
                <w:szCs w:val="24"/>
              </w:rPr>
              <w:t>-</w:t>
            </w:r>
          </w:p>
        </w:tc>
        <w:tc>
          <w:tcPr>
            <w:tcW w:w="1050" w:type="dxa"/>
            <w:vAlign w:val="center"/>
          </w:tcPr>
          <w:p>
            <w:pPr>
              <w:pStyle w:val="6"/>
              <w:ind w:left="0" w:firstLine="0" w:firstLineChars="0"/>
              <w:jc w:val="center"/>
              <w:rPr>
                <w:rFonts w:cs="Times New Roman"/>
                <w:color w:val="auto"/>
                <w:sz w:val="24"/>
                <w:szCs w:val="24"/>
              </w:rPr>
            </w:pPr>
            <w:r>
              <w:rPr>
                <w:rFonts w:cs="Times New Roman"/>
                <w:color w:val="auto"/>
                <w:sz w:val="24"/>
                <w:szCs w:val="24"/>
              </w:rPr>
              <w:t>-</w:t>
            </w:r>
          </w:p>
        </w:tc>
        <w:tc>
          <w:tcPr>
            <w:tcW w:w="1065" w:type="dxa"/>
            <w:vAlign w:val="center"/>
          </w:tcPr>
          <w:p>
            <w:pPr>
              <w:pStyle w:val="6"/>
              <w:ind w:left="0" w:firstLine="0" w:firstLineChars="0"/>
              <w:jc w:val="center"/>
              <w:rPr>
                <w:rFonts w:cs="Times New Roman"/>
                <w:color w:val="auto"/>
                <w:sz w:val="24"/>
                <w:szCs w:val="24"/>
              </w:rPr>
            </w:pPr>
            <w:r>
              <w:rPr>
                <w:rFonts w:cs="Times New Roman"/>
                <w:color w:val="auto"/>
                <w:sz w:val="24"/>
                <w:szCs w:val="24"/>
              </w:rPr>
              <w:t>-</w:t>
            </w:r>
          </w:p>
        </w:tc>
        <w:tc>
          <w:tcPr>
            <w:tcW w:w="976" w:type="dxa"/>
            <w:vAlign w:val="center"/>
          </w:tcPr>
          <w:p>
            <w:pPr>
              <w:pStyle w:val="6"/>
              <w:ind w:left="0" w:firstLine="0" w:firstLineChars="0"/>
              <w:jc w:val="center"/>
              <w:rPr>
                <w:rFonts w:cs="Times New Roman"/>
                <w:color w:val="auto"/>
                <w:sz w:val="24"/>
                <w:szCs w:val="24"/>
              </w:rPr>
            </w:pPr>
            <w:r>
              <w:rPr>
                <w:rFonts w:cs="Times New Roman"/>
                <w:color w:val="auto"/>
                <w:sz w:val="24"/>
                <w:szCs w:val="24"/>
              </w:rPr>
              <w:t>-</w:t>
            </w:r>
          </w:p>
        </w:tc>
      </w:tr>
    </w:tbl>
    <w:p>
      <w:pPr>
        <w:pStyle w:val="4"/>
        <w:spacing w:line="600" w:lineRule="exact"/>
        <w:ind w:firstLine="0" w:firstLineChars="0"/>
        <w:rPr>
          <w:rFonts w:cs="Times New Roman"/>
          <w:color w:val="auto"/>
          <w:sz w:val="30"/>
          <w:szCs w:val="30"/>
        </w:rPr>
      </w:pPr>
      <w:r>
        <w:rPr>
          <w:rFonts w:hint="eastAsia" w:cs="Times New Roman"/>
          <w:color w:val="auto"/>
          <w:sz w:val="30"/>
          <w:szCs w:val="30"/>
        </w:rPr>
        <w:t>5.1</w:t>
      </w:r>
      <w:r>
        <w:rPr>
          <w:rFonts w:cs="Times New Roman"/>
          <w:color w:val="auto"/>
          <w:sz w:val="30"/>
          <w:szCs w:val="30"/>
        </w:rPr>
        <w:t>.2森林资源现状</w:t>
      </w:r>
    </w:p>
    <w:p>
      <w:pPr>
        <w:ind w:firstLine="560"/>
        <w:rPr>
          <w:rFonts w:eastAsia="仿宋_GB2312" w:cs="Times New Roman"/>
          <w:color w:val="auto"/>
        </w:rPr>
      </w:pPr>
      <w:r>
        <w:rPr>
          <w:rFonts w:eastAsia="仿宋_GB2312" w:cs="Times New Roman"/>
          <w:color w:val="auto"/>
        </w:rPr>
        <w:t>绥棱县全县林地面积218404.26公顷，占全县土地面积的50.65%。其中乡镇集体林地面积 6377.9公顷，森林面积4697.4公顷，活立木总蓄积量 808220立方米，乡镇集体林地零星分布于县域内。绥棱管局（包括四海店林业局、半截河林业局、三吉台林业局和阁山林业局）森林面积为35754.42公顷，活立木总蓄积量为3793923立方米，主要分布在县域中部。绥棱林业局、沾河林业局以及通北林业局林地面积169218.08公顷，活立木总蓄积量为19968179立方米，主要分布在县域东北部。</w:t>
      </w:r>
    </w:p>
    <w:p>
      <w:pPr>
        <w:ind w:firstLine="560"/>
        <w:rPr>
          <w:rFonts w:eastAsia="仿宋_GB2312" w:cs="Times New Roman"/>
          <w:color w:val="auto"/>
        </w:rPr>
      </w:pPr>
      <w:r>
        <w:rPr>
          <w:rFonts w:eastAsia="仿宋_GB2312" w:cs="Times New Roman"/>
          <w:color w:val="auto"/>
        </w:rPr>
        <w:t>（1）乡镇森林分布情况</w:t>
      </w:r>
    </w:p>
    <w:p>
      <w:pPr>
        <w:ind w:firstLine="560"/>
        <w:rPr>
          <w:rFonts w:eastAsia="仿宋_GB2312" w:cs="Times New Roman"/>
          <w:color w:val="auto"/>
        </w:rPr>
      </w:pPr>
      <w:r>
        <w:rPr>
          <w:rFonts w:eastAsia="仿宋_GB2312" w:cs="Times New Roman"/>
          <w:color w:val="auto"/>
        </w:rPr>
        <w:t>森林面积、蓄积按龄组划分，幼龄林面积605.8 公顷，蓄积 6800 立方米；中龄林面积 885.2 公顷，蓄积 66045立方米；近熟林面积1878.8 公顷，蓄积316072立方米；成熟林面积 1115公顷，蓄积350343立方米，过熟林面积 212.6公顷，蓄积 68960立方米。其中幼龄林和中龄林占比36.7%，蓄积量占比9%。</w:t>
      </w:r>
    </w:p>
    <w:p>
      <w:pPr>
        <w:ind w:firstLine="560"/>
        <w:rPr>
          <w:rFonts w:eastAsia="仿宋_GB2312" w:cs="Times New Roman"/>
          <w:color w:val="auto"/>
        </w:rPr>
      </w:pPr>
      <w:r>
        <w:rPr>
          <w:rFonts w:eastAsia="仿宋_GB2312" w:cs="Times New Roman"/>
          <w:color w:val="auto"/>
        </w:rPr>
        <w:t>森林面积、蓄积按树种划分，杨树面积4071公顷，蓄积726497立方米；落叶面积294.5公顷，蓄积64415立方米；云杉林面积54公顷，蓄积656立方米；山杨林面积11.9公顷，蓄积2509立方米；针阔混交林面积46公顷，蓄积4900立方米；软阔叶混交林面积11公顷，蓄积1680立方米；硬阔叶混交林面积8.2公顷，蓄积239立方米；樟子松林面积5.1公顷；白桦林面积41.3公顷，蓄积6318立方米；其它154.4公顷，蓄积982立方米。其中杨树占比86.7%，蓄积量占比89.9%。</w:t>
      </w:r>
    </w:p>
    <w:p>
      <w:pPr>
        <w:ind w:firstLine="560"/>
        <w:rPr>
          <w:rFonts w:eastAsia="仿宋_GB2312" w:cs="Times New Roman"/>
          <w:color w:val="auto"/>
        </w:rPr>
      </w:pPr>
      <w:r>
        <w:rPr>
          <w:rFonts w:eastAsia="仿宋_GB2312" w:cs="Times New Roman"/>
          <w:color w:val="auto"/>
        </w:rPr>
        <w:t>（2）绥棱管局森林分布情况</w:t>
      </w:r>
    </w:p>
    <w:p>
      <w:pPr>
        <w:ind w:firstLine="560"/>
        <w:rPr>
          <w:rFonts w:eastAsia="仿宋_GB2312" w:cs="Times New Roman"/>
          <w:color w:val="auto"/>
        </w:rPr>
      </w:pPr>
      <w:r>
        <w:rPr>
          <w:rFonts w:eastAsia="仿宋_GB2312" w:cs="Times New Roman"/>
          <w:color w:val="auto"/>
        </w:rPr>
        <w:t>森林面积、蓄积按龄组划分，幼龄林面积3461.01公顷，蓄积239454 立方米；中龄林面积 12210.81 公顷，蓄积 1400072立方米；近熟林面积7471.93公顷，蓄积899914立方米；成熟林面积9419.7公顷，蓄积1125469立方米，过熟林面积1105.2公顷，蓄积129014立方米。其中幼龄林和中龄林占比46.5%，蓄积量占比43.2%。</w:t>
      </w:r>
    </w:p>
    <w:p>
      <w:pPr>
        <w:ind w:firstLine="560"/>
        <w:rPr>
          <w:rFonts w:eastAsia="仿宋_GB2312" w:cs="Times New Roman"/>
          <w:color w:val="auto"/>
        </w:rPr>
      </w:pPr>
      <w:r>
        <w:rPr>
          <w:rFonts w:eastAsia="仿宋_GB2312" w:cs="Times New Roman"/>
          <w:color w:val="auto"/>
        </w:rPr>
        <w:t>森林面积、蓄积按树种划分，纯林面积7310.75公顷，蓄积800794立方米；混交林面积26357.9公顷，蓄积2993129立方米。混交林面积占比78.3%，蓄积量占比78.9%，混交林分布较多。</w:t>
      </w:r>
    </w:p>
    <w:p>
      <w:pPr>
        <w:ind w:firstLine="560"/>
        <w:rPr>
          <w:rFonts w:eastAsia="仿宋_GB2312" w:cs="Times New Roman"/>
          <w:color w:val="auto"/>
        </w:rPr>
      </w:pPr>
      <w:r>
        <w:rPr>
          <w:rFonts w:eastAsia="仿宋_GB2312" w:cs="Times New Roman"/>
          <w:color w:val="auto"/>
        </w:rPr>
        <w:t>（3）绥棱、沾河和通北林业局森林分布情况</w:t>
      </w:r>
    </w:p>
    <w:p>
      <w:pPr>
        <w:ind w:firstLine="560"/>
        <w:rPr>
          <w:rFonts w:eastAsia="仿宋_GB2312" w:cs="Times New Roman"/>
          <w:color w:val="auto"/>
          <w:highlight w:val="yellow"/>
        </w:rPr>
      </w:pPr>
      <w:r>
        <w:rPr>
          <w:rFonts w:eastAsia="仿宋_GB2312" w:cs="Times New Roman"/>
          <w:color w:val="auto"/>
        </w:rPr>
        <w:t>森林面积、蓄积按龄组划分，幼龄林面积19093.27公顷，蓄积1732840立方米；中龄林面积 144795.15 公顷，蓄积17002120立方米；近熟林面积3866.79公顷，蓄积585049立方米；成熟林面积1866.7</w:t>
      </w:r>
      <w:r>
        <w:rPr>
          <w:rFonts w:hint="eastAsia" w:eastAsia="仿宋_GB2312" w:cs="Times New Roman"/>
          <w:color w:val="auto"/>
        </w:rPr>
        <w:t>1</w:t>
      </w:r>
      <w:r>
        <w:rPr>
          <w:rFonts w:eastAsia="仿宋_GB2312" w:cs="Times New Roman"/>
          <w:color w:val="auto"/>
        </w:rPr>
        <w:t>公顷，蓄积290051立方米，</w:t>
      </w:r>
      <w:r>
        <w:rPr>
          <w:rFonts w:hint="eastAsia" w:eastAsia="仿宋_GB2312" w:cs="Times New Roman"/>
          <w:color w:val="auto"/>
        </w:rPr>
        <w:t>疏林地</w:t>
      </w:r>
      <w:r>
        <w:rPr>
          <w:rFonts w:eastAsia="仿宋_GB2312" w:cs="Times New Roman"/>
          <w:color w:val="auto"/>
        </w:rPr>
        <w:t>蓄积6402立方米</w:t>
      </w:r>
      <w:r>
        <w:rPr>
          <w:rFonts w:hint="eastAsia" w:eastAsia="仿宋_GB2312" w:cs="Times New Roman"/>
          <w:color w:val="auto"/>
        </w:rPr>
        <w:t>，散生木蓄积351717立方米</w:t>
      </w:r>
      <w:r>
        <w:rPr>
          <w:rFonts w:eastAsia="仿宋_GB2312" w:cs="Times New Roman"/>
          <w:color w:val="auto"/>
        </w:rPr>
        <w:t>。其中幼龄林和中龄林</w:t>
      </w:r>
      <w:r>
        <w:rPr>
          <w:rFonts w:hint="eastAsia" w:eastAsia="仿宋_GB2312" w:cs="Times New Roman"/>
          <w:color w:val="auto"/>
        </w:rPr>
        <w:t>面积</w:t>
      </w:r>
      <w:r>
        <w:rPr>
          <w:rFonts w:eastAsia="仿宋_GB2312" w:cs="Times New Roman"/>
          <w:color w:val="auto"/>
        </w:rPr>
        <w:t>占比</w:t>
      </w:r>
      <w:r>
        <w:rPr>
          <w:rFonts w:hint="eastAsia" w:eastAsia="仿宋_GB2312" w:cs="Times New Roman"/>
          <w:color w:val="auto"/>
        </w:rPr>
        <w:t>96.6</w:t>
      </w:r>
      <w:r>
        <w:rPr>
          <w:rFonts w:eastAsia="仿宋_GB2312" w:cs="Times New Roman"/>
          <w:color w:val="auto"/>
        </w:rPr>
        <w:t>%，蓄积量占比</w:t>
      </w:r>
      <w:r>
        <w:rPr>
          <w:rFonts w:hint="eastAsia" w:eastAsia="仿宋_GB2312" w:cs="Times New Roman"/>
          <w:color w:val="auto"/>
        </w:rPr>
        <w:t>95.5</w:t>
      </w:r>
      <w:r>
        <w:rPr>
          <w:rFonts w:eastAsia="仿宋_GB2312" w:cs="Times New Roman"/>
          <w:color w:val="auto"/>
        </w:rPr>
        <w:t>%。</w:t>
      </w:r>
    </w:p>
    <w:p>
      <w:pPr>
        <w:ind w:firstLine="560"/>
        <w:rPr>
          <w:rFonts w:eastAsia="仿宋_GB2312" w:cs="Times New Roman"/>
          <w:color w:val="auto"/>
          <w:highlight w:val="yellow"/>
        </w:rPr>
      </w:pPr>
      <w:r>
        <w:rPr>
          <w:rFonts w:eastAsia="仿宋_GB2312" w:cs="Times New Roman"/>
          <w:color w:val="auto"/>
        </w:rPr>
        <w:t>森林面积、蓄积按树种划分，纯林面积</w:t>
      </w:r>
      <w:r>
        <w:rPr>
          <w:rFonts w:hint="eastAsia" w:eastAsia="仿宋_GB2312" w:cs="Times New Roman"/>
          <w:color w:val="auto"/>
        </w:rPr>
        <w:t>27261.44</w:t>
      </w:r>
      <w:r>
        <w:rPr>
          <w:rFonts w:eastAsia="仿宋_GB2312" w:cs="Times New Roman"/>
          <w:color w:val="auto"/>
        </w:rPr>
        <w:t>公顷，蓄积</w:t>
      </w:r>
      <w:r>
        <w:rPr>
          <w:rFonts w:hint="eastAsia" w:eastAsia="仿宋_GB2312" w:cs="Times New Roman"/>
          <w:color w:val="auto"/>
        </w:rPr>
        <w:t>3150878</w:t>
      </w:r>
      <w:r>
        <w:rPr>
          <w:rFonts w:eastAsia="仿宋_GB2312" w:cs="Times New Roman"/>
          <w:color w:val="auto"/>
        </w:rPr>
        <w:t>立方米；混交林面积</w:t>
      </w:r>
      <w:r>
        <w:rPr>
          <w:rFonts w:hint="eastAsia" w:eastAsia="仿宋_GB2312" w:cs="Times New Roman"/>
          <w:color w:val="auto"/>
        </w:rPr>
        <w:t>142360.48</w:t>
      </w:r>
      <w:r>
        <w:rPr>
          <w:rFonts w:eastAsia="仿宋_GB2312" w:cs="Times New Roman"/>
          <w:color w:val="auto"/>
        </w:rPr>
        <w:t>公顷，蓄积</w:t>
      </w:r>
      <w:r>
        <w:rPr>
          <w:rFonts w:hint="eastAsia" w:eastAsia="仿宋_GB2312" w:cs="Times New Roman"/>
          <w:color w:val="auto"/>
        </w:rPr>
        <w:t>16459182</w:t>
      </w:r>
      <w:r>
        <w:rPr>
          <w:rFonts w:eastAsia="仿宋_GB2312" w:cs="Times New Roman"/>
          <w:color w:val="auto"/>
        </w:rPr>
        <w:t>立方米。混交林面积占比</w:t>
      </w:r>
      <w:r>
        <w:rPr>
          <w:rFonts w:hint="eastAsia" w:eastAsia="仿宋_GB2312" w:cs="Times New Roman"/>
          <w:color w:val="auto"/>
        </w:rPr>
        <w:t>83.9</w:t>
      </w:r>
      <w:r>
        <w:rPr>
          <w:rFonts w:eastAsia="仿宋_GB2312" w:cs="Times New Roman"/>
          <w:color w:val="auto"/>
        </w:rPr>
        <w:t>%，蓄积量占比</w:t>
      </w:r>
      <w:r>
        <w:rPr>
          <w:rFonts w:hint="eastAsia" w:eastAsia="仿宋_GB2312" w:cs="Times New Roman"/>
          <w:color w:val="auto"/>
        </w:rPr>
        <w:t>83.9</w:t>
      </w:r>
      <w:r>
        <w:rPr>
          <w:rFonts w:eastAsia="仿宋_GB2312" w:cs="Times New Roman"/>
          <w:color w:val="auto"/>
        </w:rPr>
        <w:t>%，混交林分布较多。</w:t>
      </w:r>
    </w:p>
    <w:p>
      <w:pPr>
        <w:pStyle w:val="4"/>
        <w:spacing w:line="600" w:lineRule="exact"/>
        <w:ind w:firstLine="0" w:firstLineChars="0"/>
        <w:rPr>
          <w:rFonts w:cs="Times New Roman"/>
          <w:color w:val="auto"/>
          <w:sz w:val="30"/>
          <w:szCs w:val="30"/>
        </w:rPr>
      </w:pPr>
      <w:r>
        <w:rPr>
          <w:rFonts w:hint="eastAsia" w:cs="Times New Roman"/>
          <w:color w:val="auto"/>
          <w:sz w:val="30"/>
          <w:szCs w:val="30"/>
        </w:rPr>
        <w:t>5.1</w:t>
      </w:r>
      <w:r>
        <w:rPr>
          <w:rFonts w:cs="Times New Roman"/>
          <w:color w:val="auto"/>
          <w:sz w:val="30"/>
          <w:szCs w:val="30"/>
        </w:rPr>
        <w:t>.3湿地资源现状</w:t>
      </w:r>
    </w:p>
    <w:p>
      <w:pPr>
        <w:widowControl/>
        <w:ind w:firstLine="560"/>
        <w:jc w:val="left"/>
        <w:rPr>
          <w:rFonts w:cs="Times New Roman"/>
          <w:color w:val="auto"/>
          <w:kern w:val="0"/>
          <w:lang w:bidi="ar"/>
        </w:rPr>
      </w:pPr>
      <w:r>
        <w:rPr>
          <w:rFonts w:cs="Times New Roman"/>
          <w:color w:val="auto"/>
          <w:kern w:val="0"/>
          <w:lang w:bidi="ar"/>
        </w:rPr>
        <w:t>绥棱县湿地总面积12776.1663公顷，占绥棱全县面积的2.96%，包括4种湿地类型，其中灌丛沼泽295.2989公顷，占湿地总面积的2.31%；内陆滩涂514.7294公顷，占湿地总面积4.03%；森林沼泽4251.3772公顷，占湿地总面积的33.28%；沼泽草地7714.7608公顷，占湿地总面积的60.38%。保护级别均为一般湿地。</w:t>
      </w:r>
    </w:p>
    <w:p>
      <w:pPr>
        <w:widowControl/>
        <w:ind w:firstLine="560"/>
        <w:jc w:val="left"/>
        <w:rPr>
          <w:rFonts w:cs="Times New Roman"/>
          <w:color w:val="auto"/>
          <w:kern w:val="0"/>
          <w:lang w:bidi="ar"/>
        </w:rPr>
      </w:pPr>
      <w:r>
        <w:rPr>
          <w:rFonts w:cs="Times New Roman"/>
          <w:color w:val="auto"/>
          <w:kern w:val="0"/>
          <w:lang w:bidi="ar"/>
        </w:rPr>
        <w:t>湿地主要分布在绥棱努敏河省级自然保护区、双岔河湿地省级自然保护区、三吉台林场、半截河林场以及努敏河两岸。</w:t>
      </w:r>
    </w:p>
    <w:p>
      <w:pPr>
        <w:widowControl/>
        <w:ind w:firstLine="560"/>
        <w:jc w:val="left"/>
        <w:rPr>
          <w:rFonts w:cs="Times New Roman"/>
          <w:color w:val="auto"/>
          <w:kern w:val="0"/>
          <w:lang w:bidi="ar"/>
        </w:rPr>
      </w:pPr>
      <w:r>
        <w:rPr>
          <w:rFonts w:cs="Times New Roman"/>
          <w:color w:val="auto"/>
          <w:kern w:val="0"/>
          <w:lang w:bidi="ar"/>
        </w:rPr>
        <w:t>根据《绥棱县“十四五”湿地保护规划》，将湿地划分为3个分区，即黑龙江绥棱努敏河省级自然保护区、黑龙江双岔河湿地省级自然保护区</w:t>
      </w:r>
      <w:r>
        <w:rPr>
          <w:rFonts w:hint="eastAsia" w:cs="Times New Roman"/>
          <w:color w:val="auto"/>
          <w:kern w:val="0"/>
          <w:lang w:eastAsia="zh-CN" w:bidi="ar"/>
        </w:rPr>
        <w:t>与其他</w:t>
      </w:r>
      <w:r>
        <w:rPr>
          <w:rFonts w:cs="Times New Roman"/>
          <w:color w:val="auto"/>
          <w:kern w:val="0"/>
          <w:lang w:bidi="ar"/>
        </w:rPr>
        <w:t>一般湿地。</w:t>
      </w:r>
    </w:p>
    <w:p>
      <w:pPr>
        <w:widowControl/>
        <w:ind w:firstLine="560"/>
        <w:jc w:val="left"/>
        <w:rPr>
          <w:rFonts w:cs="Times New Roman"/>
          <w:color w:val="auto"/>
          <w:kern w:val="0"/>
          <w:lang w:bidi="ar"/>
        </w:rPr>
      </w:pPr>
      <w:r>
        <w:rPr>
          <w:rFonts w:cs="Times New Roman"/>
          <w:color w:val="auto"/>
          <w:kern w:val="0"/>
          <w:lang w:bidi="ar"/>
        </w:rPr>
        <w:t>（1）东北部努敏河自然保护区为主的湿地资源分布区</w:t>
      </w:r>
    </w:p>
    <w:p>
      <w:pPr>
        <w:ind w:firstLine="560"/>
        <w:rPr>
          <w:rFonts w:eastAsia="仿宋_GB2312" w:cs="Times New Roman"/>
          <w:color w:val="auto"/>
        </w:rPr>
      </w:pPr>
      <w:r>
        <w:rPr>
          <w:rFonts w:eastAsia="仿宋_GB2312" w:cs="Times New Roman"/>
          <w:color w:val="auto"/>
        </w:rPr>
        <w:t>以绥棱县内东北部的黑龙江绥棱努敏河自然保护区为主，保护区内河流、泡沼密布，河谷平浅，河水落差小，排水不畅，而形成了绥棱努敏河自然保护区以河流两侧为林间沼泽湿地，周围是大面积森林的生境特征。保护区总面积49930.51公顷，其中湿地面积3032.05公顷。主要保护对象是努敏河源头的湿地生态系统及其野生动植物资源。区内湿地以草本沼泽湿地和沼泽化草甸湿地为主导类型，占全区湿地面积的87.34%。生态功能为保护生物多样性，维持各种类型自然生态系统的平衡和完整性，实现自然资源的永续利用。</w:t>
      </w:r>
    </w:p>
    <w:p>
      <w:pPr>
        <w:ind w:firstLine="560"/>
        <w:rPr>
          <w:rFonts w:eastAsia="仿宋_GB2312" w:cs="Times New Roman"/>
          <w:color w:val="auto"/>
        </w:rPr>
      </w:pPr>
      <w:r>
        <w:rPr>
          <w:rFonts w:eastAsia="仿宋_GB2312" w:cs="Times New Roman"/>
          <w:color w:val="auto"/>
        </w:rPr>
        <w:t>（2）北部双岔河自然保护区为主的湿地资源分布区</w:t>
      </w:r>
    </w:p>
    <w:p>
      <w:pPr>
        <w:ind w:firstLine="560"/>
        <w:rPr>
          <w:rFonts w:eastAsia="仿宋_GB2312" w:cs="Times New Roman"/>
          <w:color w:val="auto"/>
        </w:rPr>
      </w:pPr>
      <w:r>
        <w:rPr>
          <w:rFonts w:cs="Times New Roman"/>
          <w:color w:val="auto"/>
        </w:rPr>
        <w:t>该区是以绥棱县内北部黑龙江双岔河湿地自然保护区为主，主要保护对象是温带森林湿地生态系统以及栖息于此的</w:t>
      </w:r>
      <w:r>
        <w:rPr>
          <w:rFonts w:hint="eastAsia" w:cs="Times New Roman"/>
          <w:color w:val="auto"/>
          <w:lang w:eastAsia="zh-CN"/>
        </w:rPr>
        <w:t>带有</w:t>
      </w:r>
      <w:r>
        <w:rPr>
          <w:rFonts w:cs="Times New Roman"/>
          <w:color w:val="auto"/>
        </w:rPr>
        <w:t>代表性的珍稀濒危野生动植物物种。同时，它又是黑龙江上游重要的水源涵养地，具有重要的保护价值。保护区总面积10698.5公顷，其中湿地面积1277.08公顷。生态功能为杜绝任何人为活动和项目建设，发挥湿地保护生态平衡，涵养水源，保护生物多样性作用，保护野生动植物资源，保留野生动物及候鸟栖息地。同时，进行科研监测，监测湿地</w:t>
      </w:r>
      <w:r>
        <w:rPr>
          <w:rFonts w:hint="eastAsia" w:cs="Times New Roman"/>
          <w:color w:val="auto"/>
          <w:lang w:eastAsia="zh-CN"/>
        </w:rPr>
        <w:t>生长发育</w:t>
      </w:r>
      <w:r>
        <w:rPr>
          <w:rFonts w:cs="Times New Roman"/>
          <w:color w:val="auto"/>
        </w:rPr>
        <w:t>的规律和野生动植物的繁育和栖息境况，为研究湿地提供宝贵的资料。</w:t>
      </w:r>
    </w:p>
    <w:p>
      <w:pPr>
        <w:ind w:firstLine="560"/>
        <w:rPr>
          <w:rFonts w:eastAsia="仿宋_GB2312" w:cs="Times New Roman"/>
          <w:color w:val="auto"/>
        </w:rPr>
      </w:pPr>
      <w:r>
        <w:rPr>
          <w:rFonts w:eastAsia="仿宋_GB2312" w:cs="Times New Roman"/>
          <w:color w:val="auto"/>
        </w:rPr>
        <w:t>（3）其它一般湿地资源分布区</w:t>
      </w:r>
    </w:p>
    <w:p>
      <w:pPr>
        <w:ind w:firstLine="560"/>
        <w:rPr>
          <w:rFonts w:eastAsia="仿宋_GB2312" w:cs="Times New Roman"/>
          <w:color w:val="auto"/>
        </w:rPr>
      </w:pPr>
      <w:r>
        <w:rPr>
          <w:rFonts w:eastAsia="仿宋_GB2312" w:cs="Times New Roman"/>
          <w:color w:val="auto"/>
        </w:rPr>
        <w:t>除黑龙江绥棱努敏河省级自然保护区、黑龙江双岔河湿地省级自然保护区两个保护区以外的一般湿地，总面积6535.1530公顷。主要生态功能为完善涉及湿地相关资源的用途管理制度，合理设置湿地资源利用的强度和时限，避免对湿地生态要素、生态过程、生态服务功能等方面造成破坏。</w:t>
      </w:r>
    </w:p>
    <w:p>
      <w:pPr>
        <w:pStyle w:val="4"/>
        <w:spacing w:line="600" w:lineRule="exact"/>
        <w:ind w:firstLine="0" w:firstLineChars="0"/>
        <w:rPr>
          <w:rFonts w:cs="Times New Roman"/>
          <w:color w:val="auto"/>
          <w:sz w:val="30"/>
          <w:szCs w:val="30"/>
        </w:rPr>
      </w:pPr>
      <w:r>
        <w:rPr>
          <w:rFonts w:hint="eastAsia" w:cs="Times New Roman"/>
          <w:color w:val="auto"/>
          <w:sz w:val="30"/>
          <w:szCs w:val="30"/>
        </w:rPr>
        <w:t>5.1</w:t>
      </w:r>
      <w:r>
        <w:rPr>
          <w:rFonts w:cs="Times New Roman"/>
          <w:color w:val="auto"/>
          <w:sz w:val="30"/>
          <w:szCs w:val="30"/>
        </w:rPr>
        <w:t>.4矿产资源现状</w:t>
      </w:r>
    </w:p>
    <w:p>
      <w:pPr>
        <w:ind w:firstLine="560"/>
        <w:rPr>
          <w:rFonts w:eastAsia="仿宋_GB2312" w:cs="Times New Roman"/>
          <w:color w:val="auto"/>
        </w:rPr>
      </w:pPr>
      <w:r>
        <w:rPr>
          <w:rFonts w:eastAsia="仿宋_GB2312" w:cs="Times New Roman"/>
          <w:color w:val="auto"/>
        </w:rPr>
        <w:t>绥棱县矿产资源比较丰富，特点是以非金属矿产为主，能源矿产次之，金属矿产较少。非金属矿产主要为陶瓷土、陶粒用泥岩和饰面用花岗岩，其中陶瓷土矿床规划为大型，是今后开发的主要矿产；能源矿产为褐煤，规模小；金属矿产仅为矿点。</w:t>
      </w:r>
    </w:p>
    <w:p>
      <w:pPr>
        <w:ind w:firstLine="560"/>
        <w:rPr>
          <w:rFonts w:eastAsia="仿宋_GB2312" w:cs="Times New Roman"/>
          <w:color w:val="auto"/>
        </w:rPr>
      </w:pPr>
      <w:r>
        <w:rPr>
          <w:rFonts w:eastAsia="仿宋_GB2312" w:cs="Times New Roman"/>
          <w:color w:val="auto"/>
        </w:rPr>
        <w:t>煤、铀、铜、铅、锌、金、银、建筑用白云岩、建筑用玄武岩、建筑用花岗岩、饰面用花岗岩、水泥用大理岩、膨润土等矿产分布于东北山区-半山区；陶瓷土矿产北、中、南部均有分布，主要分布于中部；陶粒用泥岩、建筑用砂、砖瓦用粘土和矿泉水主要分布于中部平原-丘陵区。</w:t>
      </w:r>
    </w:p>
    <w:p>
      <w:pPr>
        <w:ind w:firstLine="560"/>
        <w:rPr>
          <w:rFonts w:eastAsia="仿宋_GB2312" w:cs="Times New Roman"/>
          <w:color w:val="auto"/>
        </w:rPr>
      </w:pPr>
      <w:r>
        <w:rPr>
          <w:rFonts w:eastAsia="仿宋_GB2312" w:cs="Times New Roman"/>
          <w:color w:val="auto"/>
        </w:rPr>
        <w:t>绥棱县矿山分布较为零散，已开采矿种分别为建筑用砂、砖瓦用粘土，其他矿山处于</w:t>
      </w:r>
      <w:r>
        <w:rPr>
          <w:rFonts w:hint="eastAsia" w:eastAsia="仿宋_GB2312" w:cs="Times New Roman"/>
          <w:color w:val="auto"/>
          <w:lang w:eastAsia="zh-CN"/>
        </w:rPr>
        <w:t>勘察</w:t>
      </w:r>
      <w:r>
        <w:rPr>
          <w:rFonts w:eastAsia="仿宋_GB2312" w:cs="Times New Roman"/>
          <w:color w:val="auto"/>
        </w:rPr>
        <w:t>阶段或未开发，到 2018 年底，绥棱县云海砂场、绥棱县阁山镇成武砖厂、绥棱县北方砖厂3个矿山采矿许可证均已到期，已停止生产。</w:t>
      </w:r>
    </w:p>
    <w:p>
      <w:pPr>
        <w:pStyle w:val="4"/>
        <w:spacing w:line="600" w:lineRule="exact"/>
        <w:ind w:firstLine="0" w:firstLineChars="0"/>
        <w:rPr>
          <w:rFonts w:cs="Times New Roman"/>
          <w:color w:val="auto"/>
          <w:sz w:val="30"/>
          <w:szCs w:val="30"/>
        </w:rPr>
      </w:pPr>
      <w:r>
        <w:rPr>
          <w:rFonts w:hint="eastAsia" w:cs="Times New Roman"/>
          <w:color w:val="auto"/>
          <w:sz w:val="30"/>
          <w:szCs w:val="30"/>
        </w:rPr>
        <w:t>5.1.5</w:t>
      </w:r>
      <w:r>
        <w:rPr>
          <w:rFonts w:cs="Times New Roman"/>
          <w:color w:val="auto"/>
          <w:sz w:val="30"/>
          <w:szCs w:val="30"/>
        </w:rPr>
        <w:t>城乡生态环境现状</w:t>
      </w:r>
    </w:p>
    <w:p>
      <w:pPr>
        <w:ind w:firstLine="560"/>
        <w:rPr>
          <w:rFonts w:eastAsia="仿宋_GB2312" w:cs="Times New Roman"/>
          <w:color w:val="auto"/>
        </w:rPr>
      </w:pPr>
      <w:r>
        <w:rPr>
          <w:rFonts w:eastAsia="仿宋_GB2312" w:cs="Times New Roman"/>
          <w:color w:val="auto"/>
        </w:rPr>
        <w:t>（1）农业生态系统</w:t>
      </w:r>
    </w:p>
    <w:p>
      <w:pPr>
        <w:ind w:firstLine="560"/>
        <w:rPr>
          <w:rFonts w:eastAsia="仿宋_GB2312" w:cs="Times New Roman"/>
          <w:color w:val="auto"/>
        </w:rPr>
      </w:pPr>
      <w:r>
        <w:rPr>
          <w:rFonts w:eastAsia="仿宋_GB2312" w:cs="Times New Roman"/>
          <w:color w:val="auto"/>
        </w:rPr>
        <w:t>绥棱县县域耕地面积 169099.22 公顷，其中，旱地 106792.93 公</w:t>
      </w:r>
    </w:p>
    <w:p>
      <w:pPr>
        <w:ind w:firstLine="0" w:firstLineChars="0"/>
        <w:rPr>
          <w:rFonts w:eastAsia="仿宋_GB2312" w:cs="Times New Roman"/>
          <w:color w:val="auto"/>
        </w:rPr>
      </w:pPr>
      <w:r>
        <w:rPr>
          <w:rFonts w:eastAsia="仿宋_GB2312" w:cs="Times New Roman"/>
          <w:color w:val="auto"/>
        </w:rPr>
        <w:t>顷，占耕地总面积的 63.51%，水浇地 115.58 公顷，占耕地总面积的0.07%，水田 62190.71 公顷，占用地总面积的 36.78%。耕地主要分布在西南部，地势较为平坦，以旱地、水田、水浇地为主。</w:t>
      </w:r>
    </w:p>
    <w:p>
      <w:pPr>
        <w:ind w:firstLine="560"/>
        <w:rPr>
          <w:rFonts w:eastAsia="仿宋_GB2312" w:cs="Times New Roman"/>
          <w:color w:val="auto"/>
        </w:rPr>
      </w:pPr>
      <w:r>
        <w:rPr>
          <w:rFonts w:eastAsia="仿宋_GB2312" w:cs="Times New Roman"/>
          <w:color w:val="auto"/>
        </w:rPr>
        <w:t>绥棱县境内河湖等水系分布较广，受地形地貌及耕种条件限制，土地破碎化指数较高，耕地土地分散，集中连片度低，呈现耕地等别低、低产田比例大的特点。受降雨集中、长期过度开发等影响，区域普遍存在水土流失现象。</w:t>
      </w:r>
    </w:p>
    <w:p>
      <w:pPr>
        <w:ind w:firstLine="560"/>
        <w:rPr>
          <w:rFonts w:eastAsia="仿宋_GB2312" w:cs="Times New Roman"/>
          <w:color w:val="auto"/>
        </w:rPr>
      </w:pPr>
      <w:r>
        <w:rPr>
          <w:rFonts w:eastAsia="仿宋_GB2312" w:cs="Times New Roman"/>
          <w:color w:val="auto"/>
        </w:rPr>
        <w:t>（2）城乡建设用地</w:t>
      </w:r>
    </w:p>
    <w:p>
      <w:pPr>
        <w:ind w:firstLine="560"/>
        <w:rPr>
          <w:rFonts w:eastAsia="仿宋_GB2312" w:cs="Times New Roman"/>
          <w:color w:val="auto"/>
        </w:rPr>
      </w:pPr>
      <w:r>
        <w:rPr>
          <w:rFonts w:eastAsia="仿宋_GB2312" w:cs="Times New Roman"/>
          <w:color w:val="auto"/>
        </w:rPr>
        <w:t>绥棱县县域建设用地共 10909.25 公顷，占全县总面积的 2.53%。其中，城乡建设用地 8619.66 公顷，城镇建设用地 1660.33 公顷。乡镇绿地面积77.11公顷，仅占建设用地的0.71%。</w:t>
      </w:r>
    </w:p>
    <w:p>
      <w:pPr>
        <w:ind w:firstLine="560"/>
        <w:rPr>
          <w:rFonts w:eastAsia="仿宋_GB2312" w:cs="Times New Roman"/>
          <w:color w:val="auto"/>
        </w:rPr>
      </w:pPr>
      <w:r>
        <w:rPr>
          <w:rFonts w:eastAsia="仿宋_GB2312" w:cs="Times New Roman"/>
          <w:color w:val="auto"/>
        </w:rPr>
        <w:t>（3）基础设施</w:t>
      </w:r>
    </w:p>
    <w:p>
      <w:pPr>
        <w:ind w:firstLine="560"/>
        <w:rPr>
          <w:rFonts w:eastAsia="仿宋_GB2312" w:cs="Times New Roman"/>
          <w:color w:val="auto"/>
        </w:rPr>
      </w:pPr>
      <w:r>
        <w:rPr>
          <w:rFonts w:eastAsia="仿宋_GB2312" w:cs="Times New Roman"/>
          <w:color w:val="auto"/>
        </w:rPr>
        <w:t>目前，绥棱县县域范围内已建成的污水处理设施有绥棱县</w:t>
      </w:r>
      <w:r>
        <w:rPr>
          <w:rFonts w:hint="eastAsia" w:eastAsia="仿宋_GB2312" w:cs="Times New Roman"/>
          <w:color w:val="auto"/>
        </w:rPr>
        <w:t>碧清源</w:t>
      </w:r>
      <w:r>
        <w:rPr>
          <w:rFonts w:eastAsia="仿宋_GB2312" w:cs="Times New Roman"/>
          <w:color w:val="auto"/>
        </w:rPr>
        <w:t>污水处理厂、</w:t>
      </w:r>
      <w:r>
        <w:rPr>
          <w:rFonts w:hint="eastAsia" w:eastAsia="仿宋_GB2312" w:cs="Times New Roman"/>
          <w:color w:val="auto"/>
        </w:rPr>
        <w:t>上集污水处理站、四海店镇污水处理站、双岔河镇污水处理站和</w:t>
      </w:r>
      <w:r>
        <w:rPr>
          <w:rFonts w:eastAsia="仿宋_GB2312" w:cs="Times New Roman"/>
          <w:color w:val="auto"/>
        </w:rPr>
        <w:t>绥棱农场污水处理厂，绥棱县中心城区以及</w:t>
      </w:r>
      <w:r>
        <w:rPr>
          <w:rFonts w:hint="eastAsia" w:eastAsia="仿宋_GB2312" w:cs="Times New Roman"/>
          <w:color w:val="auto"/>
        </w:rPr>
        <w:t>上集镇、四海店镇、双岔河镇</w:t>
      </w:r>
      <w:r>
        <w:rPr>
          <w:rFonts w:eastAsia="仿宋_GB2312" w:cs="Times New Roman"/>
          <w:color w:val="auto"/>
        </w:rPr>
        <w:t>、绥棱农场敷设有排水管网。绥棱县利用财政资金共建设农村户厕2500户，共排查出问题1739户，其中立行立改问题户厕440户已完成整改，长期整改类问题户厕1299户，已在5个乡镇开展了室外卫生厕所试验示范并得到了农户普遍认可，预计在2023年年底前全部整改完成。</w:t>
      </w:r>
    </w:p>
    <w:p>
      <w:pPr>
        <w:pStyle w:val="3"/>
        <w:ind w:firstLine="0" w:firstLineChars="0"/>
        <w:rPr>
          <w:rFonts w:ascii="Times New Roman" w:hAnsi="Times New Roman" w:eastAsia="仿宋" w:cs="Times New Roman"/>
          <w:color w:val="auto"/>
        </w:rPr>
      </w:pPr>
      <w:bookmarkStart w:id="40" w:name="_Toc21096"/>
      <w:r>
        <w:rPr>
          <w:rFonts w:hint="eastAsia" w:ascii="Times New Roman" w:hAnsi="Times New Roman" w:eastAsia="仿宋" w:cs="Times New Roman"/>
          <w:color w:val="auto"/>
        </w:rPr>
        <w:t>5.2</w:t>
      </w:r>
      <w:r>
        <w:rPr>
          <w:rFonts w:ascii="Times New Roman" w:hAnsi="Times New Roman" w:eastAsia="仿宋" w:cs="Times New Roman"/>
          <w:color w:val="auto"/>
        </w:rPr>
        <w:t>主要问题识别</w:t>
      </w:r>
      <w:bookmarkEnd w:id="40"/>
    </w:p>
    <w:p>
      <w:pPr>
        <w:ind w:firstLine="560"/>
        <w:rPr>
          <w:rFonts w:eastAsia="仿宋_GB2312" w:cs="Times New Roman"/>
          <w:color w:val="auto"/>
        </w:rPr>
      </w:pPr>
      <w:r>
        <w:rPr>
          <w:rFonts w:eastAsia="仿宋_GB2312" w:cs="Times New Roman"/>
          <w:color w:val="auto"/>
        </w:rPr>
        <w:t>生态问题是由于人类活动和自然条件变化引起的自然生态系统退化及由此衍生的不良生态环境效应，包括水土流失、土地沙化、石漠化、生态系统退化等。绥棱县地处于小兴安岭南端西麓绥化市东北部，地区防风固沙功能不明显，而石漠化发生在云贵高原的喀斯特地貌区，绥棱县不涉及。因此规划从水土流失、森林资源、草地资源和湿地资源等几个方面展开分析，最终得出县域存在的主要生态问题。</w:t>
      </w:r>
    </w:p>
    <w:p>
      <w:pPr>
        <w:pStyle w:val="4"/>
        <w:spacing w:line="600" w:lineRule="exact"/>
        <w:ind w:firstLine="0" w:firstLineChars="0"/>
        <w:rPr>
          <w:rFonts w:cs="Times New Roman"/>
          <w:color w:val="auto"/>
          <w:sz w:val="30"/>
          <w:szCs w:val="30"/>
        </w:rPr>
      </w:pPr>
      <w:r>
        <w:rPr>
          <w:rFonts w:hint="eastAsia" w:cs="Times New Roman"/>
          <w:color w:val="auto"/>
          <w:sz w:val="30"/>
          <w:szCs w:val="30"/>
        </w:rPr>
        <w:t>5.2</w:t>
      </w:r>
      <w:r>
        <w:rPr>
          <w:rFonts w:cs="Times New Roman"/>
          <w:color w:val="auto"/>
          <w:sz w:val="30"/>
          <w:szCs w:val="30"/>
        </w:rPr>
        <w:t>.1 水土流失范围广、面积大</w:t>
      </w:r>
    </w:p>
    <w:p>
      <w:pPr>
        <w:ind w:firstLine="560"/>
        <w:rPr>
          <w:rFonts w:eastAsia="仿宋_GB2312" w:cs="Times New Roman"/>
          <w:color w:val="auto"/>
        </w:rPr>
      </w:pPr>
      <w:r>
        <w:rPr>
          <w:rFonts w:eastAsia="仿宋_GB2312" w:cs="Times New Roman"/>
          <w:color w:val="auto"/>
        </w:rPr>
        <w:t>绥棱县西南部地区地貌为波状台地，土壤以黑土为主，有部分草甸土、泛滥土，地形起伏较大，地形为丘陵漫岗，土质薄，土壤常被雨水冲刷，并且随着城市和乡村建设用地和硬化地表的大幅度增加，土地涵养水源和生产能力降低或消失，是绥棱县水土流失最严重的地区，水土流失以水蚀为主，多为沟壑发育。中部地区山前台地区位于绥棱县中部，地貌多属山前台地，该区林地面积较大，土壤侵蚀相对较轻。东部低山区位于绥棱县东北部，地貌多属低山，东部地势较高，起伏较大。此区土地利用类型以林地为主，耕地零星分布、面积很小。林地植被的存在一方面阻止了雨滴击溅表土，避免了土壤颗粒被击碎，另一方面大大减少了落到地面的降雨量，从而减少了地表径流量，减少了土壤侵蚀量。因此东部低山区水土流失面积最小，且均为轻度侵蚀。</w:t>
      </w:r>
    </w:p>
    <w:p>
      <w:pPr>
        <w:ind w:firstLine="560"/>
        <w:rPr>
          <w:rFonts w:hint="eastAsia" w:eastAsia="仿宋_GB2312" w:cs="Times New Roman"/>
          <w:color w:val="auto"/>
          <w:lang w:eastAsia="zh-CN"/>
        </w:rPr>
      </w:pPr>
      <w:r>
        <w:rPr>
          <w:rFonts w:eastAsia="仿宋_GB2312" w:cs="Times New Roman"/>
          <w:color w:val="auto"/>
        </w:rPr>
        <w:t>根据绥棱县水土流失现状，水土流失主要发生在西南部和中部，程度主要为轻度，占水土流失总面积的96.3%，中度侵蚀占水土流失总面积 2.9 %，强烈侵蚀占水土流失总面积 0.4 %；极强烈侵蚀占水土流失总面积 0.2%，剧烈侵蚀占水土流失总面积0.2%</w:t>
      </w:r>
      <w:r>
        <w:rPr>
          <w:rFonts w:hint="eastAsia" w:eastAsia="仿宋_GB2312" w:cs="Times New Roman"/>
          <w:color w:val="auto"/>
          <w:lang w:eastAsia="zh-CN"/>
        </w:rPr>
        <w:t>。</w:t>
      </w:r>
    </w:p>
    <w:p>
      <w:pPr>
        <w:ind w:firstLine="560"/>
        <w:rPr>
          <w:rFonts w:eastAsia="仿宋_GB2312" w:cs="Times New Roman"/>
          <w:color w:val="auto"/>
        </w:rPr>
      </w:pPr>
      <w:r>
        <w:rPr>
          <w:rFonts w:hint="eastAsia" w:eastAsia="仿宋_GB2312" w:cs="Times New Roman"/>
          <w:color w:val="auto"/>
          <w:lang w:val="en-US" w:eastAsia="zh-CN"/>
        </w:rPr>
        <w:t>整治任务：针对绥棱县水土流失现状分布情况，提出侵蚀沟治理、沟道防护等各项治理工程，减缓区域存在的水土流失情况</w:t>
      </w:r>
      <w:r>
        <w:rPr>
          <w:rFonts w:eastAsia="仿宋_GB2312" w:cs="Times New Roman"/>
          <w:color w:val="auto"/>
        </w:rPr>
        <w:t>。</w:t>
      </w:r>
    </w:p>
    <w:p>
      <w:pPr>
        <w:pStyle w:val="4"/>
        <w:spacing w:line="600" w:lineRule="exact"/>
        <w:ind w:firstLine="0" w:firstLineChars="0"/>
        <w:rPr>
          <w:rFonts w:cs="Times New Roman"/>
          <w:color w:val="auto"/>
          <w:sz w:val="30"/>
          <w:szCs w:val="30"/>
        </w:rPr>
      </w:pPr>
      <w:r>
        <w:rPr>
          <w:rFonts w:hint="eastAsia" w:cs="Times New Roman"/>
          <w:color w:val="auto"/>
          <w:sz w:val="30"/>
          <w:szCs w:val="30"/>
        </w:rPr>
        <w:t>5.2</w:t>
      </w:r>
      <w:r>
        <w:rPr>
          <w:rFonts w:cs="Times New Roman"/>
          <w:color w:val="auto"/>
          <w:sz w:val="30"/>
          <w:szCs w:val="30"/>
        </w:rPr>
        <w:t>.2 森林林分质量总体不高、树种结构单一</w:t>
      </w:r>
    </w:p>
    <w:p>
      <w:pPr>
        <w:ind w:firstLine="560"/>
        <w:rPr>
          <w:rFonts w:hint="eastAsia" w:eastAsia="仿宋_GB2312" w:cs="Times New Roman"/>
          <w:color w:val="auto"/>
          <w:lang w:eastAsia="zh-CN"/>
        </w:rPr>
      </w:pPr>
      <w:r>
        <w:rPr>
          <w:rFonts w:eastAsia="仿宋_GB2312" w:cs="Times New Roman"/>
          <w:color w:val="auto"/>
        </w:rPr>
        <w:t>根据上述分析，绥棱县农村乡镇森林资源分布的主要特点是零星分布，完整成型集中连片的少。从全县农村乡镇的林业发展水平看，林分结构单一，缺乏科学管理的意识，纯林多，混交林少，优良树种比例少，结构构成不够合理，树木病虫害严重，林木生长慢，质量差，小老树多，资源自然消耗枯损量高。绥棱管局森林资源分布于县域中部，呈完整集中连片分布，树种较丰富，混交林较多，但幼、中龄林占比较大，造成林分结构简单，种群密度较小，物种多样性较低，结构不稳定，易发生病虫害或风倒等危害。由于经济社会发展需求、森林资源部分不合理利用等因素，绥棱、沾河和通北林业局内天然植被多数曾遭不同程度的破坏，</w:t>
      </w:r>
      <w:r>
        <w:rPr>
          <w:rFonts w:cs="Times New Roman"/>
          <w:color w:val="auto"/>
        </w:rPr>
        <w:t>原始森林植被逐渐被天然次生林、人工林所替代，</w:t>
      </w:r>
      <w:r>
        <w:rPr>
          <w:rFonts w:eastAsia="仿宋_GB2312" w:cs="Times New Roman"/>
          <w:color w:val="auto"/>
        </w:rPr>
        <w:t>现有天然林中乔木林纯林面积较大，所占比例较高，</w:t>
      </w:r>
      <w:r>
        <w:rPr>
          <w:rFonts w:cs="Times New Roman"/>
          <w:color w:val="auto"/>
        </w:rPr>
        <w:t>混交林少，优良树种比例少，</w:t>
      </w:r>
      <w:r>
        <w:rPr>
          <w:rFonts w:eastAsia="仿宋_GB2312" w:cs="Times New Roman"/>
          <w:color w:val="auto"/>
        </w:rPr>
        <w:t>林分结构简单，</w:t>
      </w:r>
      <w:r>
        <w:rPr>
          <w:rFonts w:cs="Times New Roman"/>
          <w:color w:val="auto"/>
        </w:rPr>
        <w:t>结构构成不够合理，</w:t>
      </w:r>
      <w:r>
        <w:rPr>
          <w:rFonts w:eastAsia="仿宋_GB2312" w:cs="Times New Roman"/>
          <w:color w:val="auto"/>
        </w:rPr>
        <w:t>导致森林生态系统质量和稳定性偏低，</w:t>
      </w:r>
      <w:r>
        <w:rPr>
          <w:rFonts w:cs="Times New Roman"/>
          <w:color w:val="auto"/>
        </w:rPr>
        <w:t>树木病虫害严重，</w:t>
      </w:r>
      <w:r>
        <w:rPr>
          <w:rFonts w:eastAsia="仿宋_GB2312" w:cs="Times New Roman"/>
          <w:color w:val="auto"/>
        </w:rPr>
        <w:t>森林碳汇、水源涵养、水土保持以及生物多样性保护等功能不足，对病虫害、入侵物种的抵御能力降低</w:t>
      </w:r>
      <w:r>
        <w:rPr>
          <w:rFonts w:hint="eastAsia" w:eastAsia="仿宋_GB2312" w:cs="Times New Roman"/>
          <w:color w:val="auto"/>
          <w:lang w:eastAsia="zh-CN"/>
        </w:rPr>
        <w:t>。</w:t>
      </w:r>
    </w:p>
    <w:p>
      <w:pPr>
        <w:ind w:firstLine="560"/>
        <w:rPr>
          <w:rFonts w:hint="eastAsia" w:eastAsia="仿宋_GB2312" w:cs="Times New Roman"/>
          <w:color w:val="auto"/>
          <w:lang w:eastAsia="zh-CN"/>
        </w:rPr>
      </w:pPr>
      <w:r>
        <w:rPr>
          <w:rFonts w:hint="eastAsia" w:eastAsia="仿宋_GB2312" w:cs="Times New Roman"/>
          <w:color w:val="auto"/>
          <w:lang w:val="en-US" w:eastAsia="zh-CN"/>
        </w:rPr>
        <w:t>整治任务：针对绥棱县森林林分质量总体不高、树种结构单一的问题，提出植树造林、幼中龄林抚育改造等治理工程，</w:t>
      </w:r>
      <w:r>
        <w:rPr>
          <w:rFonts w:hint="eastAsia" w:eastAsia="仿宋_GB2312" w:cs="Times New Roman"/>
          <w:color w:val="auto"/>
        </w:rPr>
        <w:t>增强生态系统稳定性，丰富生物多样性，提高森林质量</w:t>
      </w:r>
      <w:r>
        <w:rPr>
          <w:rFonts w:hint="eastAsia" w:eastAsia="仿宋_GB2312" w:cs="Times New Roman"/>
          <w:color w:val="auto"/>
          <w:lang w:eastAsia="zh-CN"/>
        </w:rPr>
        <w:t>。</w:t>
      </w:r>
    </w:p>
    <w:p>
      <w:pPr>
        <w:pStyle w:val="4"/>
        <w:spacing w:line="600" w:lineRule="exact"/>
        <w:ind w:firstLine="0" w:firstLineChars="0"/>
        <w:rPr>
          <w:rFonts w:cs="Times New Roman"/>
          <w:color w:val="auto"/>
          <w:sz w:val="30"/>
          <w:szCs w:val="30"/>
        </w:rPr>
      </w:pPr>
      <w:r>
        <w:rPr>
          <w:rFonts w:hint="eastAsia" w:cs="Times New Roman"/>
          <w:color w:val="auto"/>
          <w:sz w:val="30"/>
          <w:szCs w:val="30"/>
        </w:rPr>
        <w:t>5</w:t>
      </w:r>
      <w:r>
        <w:rPr>
          <w:rFonts w:cs="Times New Roman"/>
          <w:color w:val="auto"/>
          <w:sz w:val="30"/>
          <w:szCs w:val="30"/>
        </w:rPr>
        <w:t>.2.3 湿地生境破碎化、监测监管体系仍需加强</w:t>
      </w:r>
    </w:p>
    <w:p>
      <w:pPr>
        <w:ind w:firstLine="560"/>
        <w:rPr>
          <w:rFonts w:eastAsia="仿宋_GB2312" w:cs="Times New Roman"/>
          <w:color w:val="auto"/>
        </w:rPr>
      </w:pPr>
      <w:r>
        <w:rPr>
          <w:rFonts w:eastAsia="仿宋_GB2312" w:cs="Times New Roman"/>
          <w:color w:val="auto"/>
        </w:rPr>
        <w:t>十三五期间，全县河流、湿地的生态环境明显改善，动植物资源数量也大幅度提升。但仍然存在着一些问题：第一，近几年大量的湿地开垦成耕地，严重破坏生态环境，造成县域内生境破碎化，生物多样性下降，生境异质性受到破坏；第二，保护区边界与分区标识体系、湿地管护、巡护基础设施不够完善，日常主要管理手段仍然依靠传统的人工巡护，效率较低；第三，野生动植物通过封禁保护，存在栖息地碎片化、孤岛化，野生动植物保护能力有待提升；第四，湿地保护宣教水平有待提高。</w:t>
      </w:r>
    </w:p>
    <w:p>
      <w:pPr>
        <w:ind w:firstLine="560"/>
        <w:rPr>
          <w:rFonts w:hint="eastAsia" w:eastAsia="仿宋_GB2312" w:cs="Times New Roman"/>
          <w:color w:val="auto"/>
          <w:lang w:eastAsia="zh-CN"/>
        </w:rPr>
      </w:pPr>
      <w:r>
        <w:rPr>
          <w:rFonts w:hint="eastAsia" w:eastAsia="仿宋_GB2312" w:cs="Times New Roman"/>
          <w:color w:val="auto"/>
          <w:lang w:val="en-US" w:eastAsia="zh-CN"/>
        </w:rPr>
        <w:t>整治任务：</w:t>
      </w:r>
      <w:r>
        <w:rPr>
          <w:rFonts w:hint="eastAsia" w:eastAsia="仿宋_GB2312" w:cs="Times New Roman"/>
          <w:color w:val="auto"/>
          <w:lang w:eastAsia="zh-CN"/>
        </w:rPr>
        <w:t>实施湿地保有量管控措施，落实湿地保护管理目标责任制，禁止围垦湿地，推行林长制、河长制，强化湿地修复的重要性，不断提升湿地生态系统的稳定性。加强湿地保护管理体系建设，健全完善湿地保护制度，提升湿地保护管理机构的能力建设，切实加强湿地保护管理工作。</w:t>
      </w:r>
    </w:p>
    <w:p>
      <w:pPr>
        <w:pStyle w:val="4"/>
        <w:spacing w:line="600" w:lineRule="exact"/>
        <w:ind w:firstLine="0" w:firstLineChars="0"/>
        <w:rPr>
          <w:rFonts w:cs="Times New Roman"/>
          <w:color w:val="auto"/>
          <w:sz w:val="30"/>
          <w:szCs w:val="30"/>
        </w:rPr>
      </w:pPr>
      <w:r>
        <w:rPr>
          <w:rFonts w:hint="eastAsia" w:cs="Times New Roman"/>
          <w:color w:val="auto"/>
          <w:sz w:val="30"/>
          <w:szCs w:val="30"/>
        </w:rPr>
        <w:t>5</w:t>
      </w:r>
      <w:r>
        <w:rPr>
          <w:rFonts w:cs="Times New Roman"/>
          <w:color w:val="auto"/>
          <w:sz w:val="30"/>
          <w:szCs w:val="30"/>
        </w:rPr>
        <w:t>.2.4矿山治理难度大</w:t>
      </w:r>
    </w:p>
    <w:p>
      <w:pPr>
        <w:ind w:firstLine="560"/>
        <w:rPr>
          <w:rFonts w:cs="Times New Roman"/>
          <w:color w:val="auto"/>
        </w:rPr>
      </w:pPr>
      <w:r>
        <w:rPr>
          <w:rFonts w:cs="Times New Roman"/>
          <w:color w:val="auto"/>
        </w:rPr>
        <w:t>露天采矿使地表土壤丧失、植被景观破坏、岩石裸露，加剧了区内水土流失。矿坑废水和采选废水未经处理直接排放污染地表水质和土质，造成河流两侧地下水污染；雨水携带矿渣废屑等有害物质进入下游沟道、河流及耕地与林地，致使矿区周边土壤酸化、耕地质量降低，甚至部分耕地被</w:t>
      </w:r>
      <w:r>
        <w:rPr>
          <w:rFonts w:hint="eastAsia" w:cs="Times New Roman"/>
          <w:color w:val="auto"/>
          <w:lang w:eastAsia="zh-CN"/>
        </w:rPr>
        <w:t>矿渣</w:t>
      </w:r>
      <w:r>
        <w:rPr>
          <w:rFonts w:cs="Times New Roman"/>
          <w:color w:val="auto"/>
        </w:rPr>
        <w:t>废弃物形成的泥石流淹没、毁坏，影响当地居民生活环境和生活质量。另外，采石的人为干扰，改变了局部地形地貌，造成了水土流失等问题，破坏了生态系统结构和功能，阻碍了生物之间的物质、信息和能量流通，破坏了生态系统平衡。</w:t>
      </w:r>
    </w:p>
    <w:p>
      <w:pPr>
        <w:ind w:firstLine="560"/>
        <w:rPr>
          <w:rFonts w:cs="Times New Roman"/>
          <w:color w:val="auto"/>
        </w:rPr>
      </w:pPr>
      <w:r>
        <w:rPr>
          <w:rFonts w:cs="Times New Roman"/>
          <w:color w:val="auto"/>
        </w:rPr>
        <w:t>近年来绥棱县高度重视矿山生态修复与治理，</w:t>
      </w:r>
      <w:r>
        <w:rPr>
          <w:rFonts w:hint="eastAsia" w:cs="Times New Roman"/>
          <w:color w:val="auto"/>
          <w:lang w:eastAsia="zh-CN"/>
        </w:rPr>
        <w:t>截至2018年底</w:t>
      </w:r>
      <w:r>
        <w:rPr>
          <w:rFonts w:cs="Times New Roman"/>
          <w:color w:val="auto"/>
        </w:rPr>
        <w:t>，县域内已恢复治理的矿山7处。目前尚存的废弃矿山4处：绥棱县阁山采石场损毁面积为65400m</w:t>
      </w:r>
      <w:r>
        <w:rPr>
          <w:rFonts w:cs="Times New Roman"/>
          <w:color w:val="auto"/>
          <w:vertAlign w:val="superscript"/>
        </w:rPr>
        <w:t>2</w:t>
      </w:r>
      <w:r>
        <w:rPr>
          <w:rFonts w:cs="Times New Roman"/>
          <w:color w:val="auto"/>
        </w:rPr>
        <w:t>、开采岩种为玄武岩，位于绥棱林业局，损毁类型为削山；绥棱县北方制砖厂175200m</w:t>
      </w:r>
      <w:r>
        <w:rPr>
          <w:rFonts w:cs="Times New Roman"/>
          <w:color w:val="auto"/>
          <w:vertAlign w:val="superscript"/>
        </w:rPr>
        <w:t>2</w:t>
      </w:r>
      <w:r>
        <w:rPr>
          <w:rFonts w:cs="Times New Roman"/>
          <w:color w:val="auto"/>
        </w:rPr>
        <w:t>、开采岩种为砖瓦粘土，位于长山镇，损毁类型为深坑；绥棱县阁山乡制砖厂损毁面积为147763m</w:t>
      </w:r>
      <w:r>
        <w:rPr>
          <w:rFonts w:cs="Times New Roman"/>
          <w:color w:val="auto"/>
          <w:vertAlign w:val="superscript"/>
        </w:rPr>
        <w:t>2</w:t>
      </w:r>
      <w:r>
        <w:rPr>
          <w:rFonts w:cs="Times New Roman"/>
          <w:color w:val="auto"/>
        </w:rPr>
        <w:t>、开采岩种为砖瓦粘土，位于绥棱镇，损毁类型为深坑；绥棱县林业局建兴花岗岩石材厂损毁面积为176351m</w:t>
      </w:r>
      <w:r>
        <w:rPr>
          <w:rFonts w:cs="Times New Roman"/>
          <w:color w:val="auto"/>
          <w:vertAlign w:val="superscript"/>
        </w:rPr>
        <w:t>2</w:t>
      </w:r>
      <w:r>
        <w:rPr>
          <w:rFonts w:cs="Times New Roman"/>
          <w:color w:val="auto"/>
        </w:rPr>
        <w:t>，开采岩种为砖瓦粘土，位于泥尔河乡，损毁类型为深坑。</w:t>
      </w:r>
    </w:p>
    <w:p>
      <w:pPr>
        <w:ind w:firstLine="560"/>
        <w:rPr>
          <w:rFonts w:hint="eastAsia" w:cs="Times New Roman"/>
          <w:color w:val="auto"/>
          <w:lang w:eastAsia="zh-CN"/>
        </w:rPr>
      </w:pPr>
      <w:r>
        <w:rPr>
          <w:rFonts w:hint="eastAsia" w:cs="Times New Roman"/>
          <w:color w:val="auto"/>
        </w:rPr>
        <w:t>绥棱县矿业仍然属于资源开发的传统发展思路，矿山开采过程中产生的环境问题主要有占用土地、毁坏植被、轻微水土流失及废渣堆放、废水排放等问题，对环境影响程度均不严重。北部丘陵低山区开采的建筑用花岗岩、玄武岩矿，产量少，已停采，对土地与植被没有严重破坏，未引发地质灾害。南部漫岗平原区因开采砖瓦用粘土矿，破坏了少量土地资源和地表植被。</w:t>
      </w:r>
      <w:r>
        <w:rPr>
          <w:rFonts w:cs="Times New Roman"/>
          <w:color w:val="auto"/>
        </w:rPr>
        <w:t>废弃矿山由于地形复杂，坡面较陡峭，施工复绿成本高，筹措修复资金较难</w:t>
      </w:r>
      <w:r>
        <w:rPr>
          <w:rFonts w:hint="eastAsia" w:cs="Times New Roman"/>
          <w:color w:val="auto"/>
          <w:lang w:eastAsia="zh-CN"/>
        </w:rPr>
        <w:t>。</w:t>
      </w:r>
    </w:p>
    <w:p>
      <w:pPr>
        <w:ind w:left="0" w:leftChars="0" w:firstLine="0" w:firstLineChars="0"/>
        <w:jc w:val="center"/>
        <w:rPr>
          <w:rFonts w:hint="eastAsia" w:eastAsia="仿宋_GB2312" w:cs="Times New Roman"/>
          <w:b/>
          <w:bCs/>
          <w:color w:val="auto"/>
          <w:lang w:val="en-US" w:eastAsia="zh-CN"/>
        </w:rPr>
      </w:pPr>
      <w:r>
        <w:rPr>
          <w:rFonts w:hint="eastAsia" w:eastAsia="仿宋_GB2312" w:cs="Times New Roman"/>
          <w:b/>
          <w:bCs/>
          <w:color w:val="auto"/>
          <w:lang w:val="en-US" w:eastAsia="zh-CN"/>
        </w:rPr>
        <w:t>表 5-1 矿区损毁土地现状</w:t>
      </w:r>
    </w:p>
    <w:tbl>
      <w:tblPr>
        <w:tblStyle w:val="17"/>
        <w:tblW w:w="85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1400"/>
        <w:gridCol w:w="840"/>
        <w:gridCol w:w="1335"/>
        <w:gridCol w:w="875"/>
        <w:gridCol w:w="1013"/>
        <w:gridCol w:w="1129"/>
        <w:gridCol w:w="10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900"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编号</w:t>
            </w:r>
          </w:p>
        </w:tc>
        <w:tc>
          <w:tcPr>
            <w:tcW w:w="1400"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矿山名称</w:t>
            </w:r>
          </w:p>
        </w:tc>
        <w:tc>
          <w:tcPr>
            <w:tcW w:w="840"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开采状态</w:t>
            </w:r>
          </w:p>
        </w:tc>
        <w:tc>
          <w:tcPr>
            <w:tcW w:w="1335"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开采矿种</w:t>
            </w:r>
          </w:p>
        </w:tc>
        <w:tc>
          <w:tcPr>
            <w:tcW w:w="875"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损毁类型</w:t>
            </w:r>
          </w:p>
        </w:tc>
        <w:tc>
          <w:tcPr>
            <w:tcW w:w="1013"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损毁面积（m</w:t>
            </w:r>
            <w:r>
              <w:rPr>
                <w:rFonts w:hint="eastAsia" w:ascii="Times New Roman" w:hAnsi="Times New Roman" w:cs="Times New Roman"/>
                <w:color w:val="auto"/>
                <w:sz w:val="24"/>
                <w:szCs w:val="24"/>
                <w:vertAlign w:val="superscript"/>
                <w:lang w:val="en-US" w:eastAsia="zh-CN"/>
              </w:rPr>
              <w:t>2</w:t>
            </w:r>
            <w:r>
              <w:rPr>
                <w:rFonts w:hint="eastAsia" w:ascii="Times New Roman" w:hAnsi="Times New Roman" w:cs="Times New Roman"/>
                <w:color w:val="auto"/>
                <w:sz w:val="24"/>
                <w:szCs w:val="24"/>
                <w:lang w:val="en-US" w:eastAsia="zh-CN"/>
              </w:rPr>
              <w:t>）</w:t>
            </w:r>
          </w:p>
        </w:tc>
        <w:tc>
          <w:tcPr>
            <w:tcW w:w="1129"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估算修复工程量（m</w:t>
            </w:r>
            <w:r>
              <w:rPr>
                <w:rFonts w:hint="eastAsia" w:ascii="Times New Roman" w:hAnsi="Times New Roman" w:cs="Times New Roman"/>
                <w:color w:val="auto"/>
                <w:sz w:val="24"/>
                <w:szCs w:val="24"/>
                <w:vertAlign w:val="superscript"/>
                <w:lang w:val="en-US" w:eastAsia="zh-CN"/>
              </w:rPr>
              <w:t>3</w:t>
            </w:r>
            <w:r>
              <w:rPr>
                <w:rFonts w:hint="eastAsia" w:ascii="Times New Roman" w:hAnsi="Times New Roman" w:cs="Times New Roman"/>
                <w:color w:val="auto"/>
                <w:sz w:val="24"/>
                <w:szCs w:val="24"/>
                <w:lang w:val="en-US" w:eastAsia="zh-CN"/>
              </w:rPr>
              <w:t>）</w:t>
            </w:r>
          </w:p>
        </w:tc>
        <w:tc>
          <w:tcPr>
            <w:tcW w:w="1064"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恢复情况（%）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900"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ZL001</w:t>
            </w:r>
          </w:p>
        </w:tc>
        <w:tc>
          <w:tcPr>
            <w:tcW w:w="1400"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绥棱县阁山采石场</w:t>
            </w:r>
          </w:p>
        </w:tc>
        <w:tc>
          <w:tcPr>
            <w:tcW w:w="840"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停采</w:t>
            </w:r>
          </w:p>
        </w:tc>
        <w:tc>
          <w:tcPr>
            <w:tcW w:w="1335"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玄武岩</w:t>
            </w:r>
          </w:p>
        </w:tc>
        <w:tc>
          <w:tcPr>
            <w:tcW w:w="875"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削山</w:t>
            </w:r>
          </w:p>
        </w:tc>
        <w:tc>
          <w:tcPr>
            <w:tcW w:w="1013"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65400</w:t>
            </w:r>
          </w:p>
        </w:tc>
        <w:tc>
          <w:tcPr>
            <w:tcW w:w="1129"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26160</w:t>
            </w:r>
          </w:p>
        </w:tc>
        <w:tc>
          <w:tcPr>
            <w:tcW w:w="1064"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未恢复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900"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ZL002</w:t>
            </w:r>
          </w:p>
        </w:tc>
        <w:tc>
          <w:tcPr>
            <w:tcW w:w="1400"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绥棱县后头乡砖厂</w:t>
            </w:r>
          </w:p>
        </w:tc>
        <w:tc>
          <w:tcPr>
            <w:tcW w:w="840"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停采</w:t>
            </w:r>
          </w:p>
        </w:tc>
        <w:tc>
          <w:tcPr>
            <w:tcW w:w="1335"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砖瓦</w:t>
            </w:r>
            <w:r>
              <w:rPr>
                <w:rFonts w:hint="eastAsia" w:cs="Times New Roman"/>
                <w:color w:val="auto"/>
                <w:sz w:val="24"/>
                <w:szCs w:val="24"/>
                <w:lang w:val="en-US" w:eastAsia="zh-CN"/>
              </w:rPr>
              <w:t>黏土</w:t>
            </w:r>
          </w:p>
        </w:tc>
        <w:tc>
          <w:tcPr>
            <w:tcW w:w="875"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深坑</w:t>
            </w:r>
          </w:p>
        </w:tc>
        <w:tc>
          <w:tcPr>
            <w:tcW w:w="1013"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59550</w:t>
            </w:r>
          </w:p>
        </w:tc>
        <w:tc>
          <w:tcPr>
            <w:tcW w:w="1129"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17342</w:t>
            </w:r>
          </w:p>
        </w:tc>
        <w:tc>
          <w:tcPr>
            <w:tcW w:w="1064"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900"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ZL003</w:t>
            </w:r>
          </w:p>
        </w:tc>
        <w:tc>
          <w:tcPr>
            <w:tcW w:w="1400"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绥棱县北方制砖厂（一矿区）</w:t>
            </w:r>
          </w:p>
        </w:tc>
        <w:tc>
          <w:tcPr>
            <w:tcW w:w="840"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停采</w:t>
            </w:r>
          </w:p>
        </w:tc>
        <w:tc>
          <w:tcPr>
            <w:tcW w:w="1335"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砖瓦</w:t>
            </w:r>
            <w:r>
              <w:rPr>
                <w:rFonts w:hint="eastAsia" w:cs="Times New Roman"/>
                <w:color w:val="auto"/>
                <w:sz w:val="24"/>
                <w:szCs w:val="24"/>
                <w:lang w:val="en-US" w:eastAsia="zh-CN"/>
              </w:rPr>
              <w:t>黏土</w:t>
            </w:r>
          </w:p>
        </w:tc>
        <w:tc>
          <w:tcPr>
            <w:tcW w:w="875"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深坑</w:t>
            </w:r>
          </w:p>
        </w:tc>
        <w:tc>
          <w:tcPr>
            <w:tcW w:w="1013"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175200</w:t>
            </w:r>
          </w:p>
        </w:tc>
        <w:tc>
          <w:tcPr>
            <w:tcW w:w="1129"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58113</w:t>
            </w:r>
          </w:p>
        </w:tc>
        <w:tc>
          <w:tcPr>
            <w:tcW w:w="1064"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未恢复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900"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ZL004</w:t>
            </w:r>
          </w:p>
        </w:tc>
        <w:tc>
          <w:tcPr>
            <w:tcW w:w="1400"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绥棱县克音制砖厂</w:t>
            </w:r>
          </w:p>
        </w:tc>
        <w:tc>
          <w:tcPr>
            <w:tcW w:w="840"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停采</w:t>
            </w:r>
          </w:p>
        </w:tc>
        <w:tc>
          <w:tcPr>
            <w:tcW w:w="1335"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砖瓦</w:t>
            </w:r>
            <w:r>
              <w:rPr>
                <w:rFonts w:hint="eastAsia" w:cs="Times New Roman"/>
                <w:color w:val="auto"/>
                <w:sz w:val="24"/>
                <w:szCs w:val="24"/>
                <w:lang w:val="en-US" w:eastAsia="zh-CN"/>
              </w:rPr>
              <w:t>黏土</w:t>
            </w:r>
          </w:p>
        </w:tc>
        <w:tc>
          <w:tcPr>
            <w:tcW w:w="875"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深坑</w:t>
            </w:r>
          </w:p>
        </w:tc>
        <w:tc>
          <w:tcPr>
            <w:tcW w:w="1013"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54350</w:t>
            </w:r>
          </w:p>
        </w:tc>
        <w:tc>
          <w:tcPr>
            <w:tcW w:w="1129"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10577</w:t>
            </w:r>
          </w:p>
        </w:tc>
        <w:tc>
          <w:tcPr>
            <w:tcW w:w="1064"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900"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ZL005</w:t>
            </w:r>
          </w:p>
        </w:tc>
        <w:tc>
          <w:tcPr>
            <w:tcW w:w="1400"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绥棱县林业局砖厂</w:t>
            </w:r>
          </w:p>
        </w:tc>
        <w:tc>
          <w:tcPr>
            <w:tcW w:w="840"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停采</w:t>
            </w:r>
          </w:p>
        </w:tc>
        <w:tc>
          <w:tcPr>
            <w:tcW w:w="1335"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砖瓦</w:t>
            </w:r>
            <w:r>
              <w:rPr>
                <w:rFonts w:hint="eastAsia" w:cs="Times New Roman"/>
                <w:color w:val="auto"/>
                <w:sz w:val="24"/>
                <w:szCs w:val="24"/>
                <w:lang w:val="en-US" w:eastAsia="zh-CN"/>
              </w:rPr>
              <w:t>黏土</w:t>
            </w:r>
          </w:p>
        </w:tc>
        <w:tc>
          <w:tcPr>
            <w:tcW w:w="875"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深坑</w:t>
            </w:r>
          </w:p>
        </w:tc>
        <w:tc>
          <w:tcPr>
            <w:tcW w:w="1013"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90900</w:t>
            </w:r>
          </w:p>
        </w:tc>
        <w:tc>
          <w:tcPr>
            <w:tcW w:w="1129"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17224</w:t>
            </w:r>
          </w:p>
        </w:tc>
        <w:tc>
          <w:tcPr>
            <w:tcW w:w="1064"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900"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ZL006</w:t>
            </w:r>
          </w:p>
        </w:tc>
        <w:tc>
          <w:tcPr>
            <w:tcW w:w="1400"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绥棱县长山五部砖厂</w:t>
            </w:r>
          </w:p>
        </w:tc>
        <w:tc>
          <w:tcPr>
            <w:tcW w:w="840"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停采</w:t>
            </w:r>
          </w:p>
        </w:tc>
        <w:tc>
          <w:tcPr>
            <w:tcW w:w="1335"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砖瓦</w:t>
            </w:r>
            <w:r>
              <w:rPr>
                <w:rFonts w:hint="eastAsia" w:cs="Times New Roman"/>
                <w:color w:val="auto"/>
                <w:sz w:val="24"/>
                <w:szCs w:val="24"/>
                <w:lang w:val="en-US" w:eastAsia="zh-CN"/>
              </w:rPr>
              <w:t>黏土</w:t>
            </w:r>
          </w:p>
        </w:tc>
        <w:tc>
          <w:tcPr>
            <w:tcW w:w="875"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深坑</w:t>
            </w:r>
          </w:p>
        </w:tc>
        <w:tc>
          <w:tcPr>
            <w:tcW w:w="1013"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53400</w:t>
            </w:r>
          </w:p>
        </w:tc>
        <w:tc>
          <w:tcPr>
            <w:tcW w:w="1129"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10508</w:t>
            </w:r>
          </w:p>
        </w:tc>
        <w:tc>
          <w:tcPr>
            <w:tcW w:w="1064"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900"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ZL007</w:t>
            </w:r>
          </w:p>
        </w:tc>
        <w:tc>
          <w:tcPr>
            <w:tcW w:w="1400"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绥棱县阁山乡制砖厂</w:t>
            </w:r>
          </w:p>
        </w:tc>
        <w:tc>
          <w:tcPr>
            <w:tcW w:w="840"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停采</w:t>
            </w:r>
          </w:p>
        </w:tc>
        <w:tc>
          <w:tcPr>
            <w:tcW w:w="1335"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砖瓦</w:t>
            </w:r>
            <w:r>
              <w:rPr>
                <w:rFonts w:hint="eastAsia" w:cs="Times New Roman"/>
                <w:color w:val="auto"/>
                <w:sz w:val="24"/>
                <w:szCs w:val="24"/>
                <w:lang w:val="en-US" w:eastAsia="zh-CN"/>
              </w:rPr>
              <w:t>黏土</w:t>
            </w:r>
          </w:p>
        </w:tc>
        <w:tc>
          <w:tcPr>
            <w:tcW w:w="875"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深坑</w:t>
            </w:r>
          </w:p>
        </w:tc>
        <w:tc>
          <w:tcPr>
            <w:tcW w:w="1013"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147763</w:t>
            </w:r>
          </w:p>
        </w:tc>
        <w:tc>
          <w:tcPr>
            <w:tcW w:w="1129"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4"/>
                <w:szCs w:val="24"/>
                <w:lang w:val="en-US" w:eastAsia="zh-CN"/>
              </w:rPr>
            </w:pPr>
          </w:p>
        </w:tc>
        <w:tc>
          <w:tcPr>
            <w:tcW w:w="1064"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未恢复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900"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ZL008</w:t>
            </w:r>
          </w:p>
        </w:tc>
        <w:tc>
          <w:tcPr>
            <w:tcW w:w="1400"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绥棱县靠山乡曙光砖厂（一矿区、二矿区）</w:t>
            </w:r>
          </w:p>
        </w:tc>
        <w:tc>
          <w:tcPr>
            <w:tcW w:w="840"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停采</w:t>
            </w:r>
          </w:p>
        </w:tc>
        <w:tc>
          <w:tcPr>
            <w:tcW w:w="1335"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砖瓦</w:t>
            </w:r>
            <w:r>
              <w:rPr>
                <w:rFonts w:hint="eastAsia" w:cs="Times New Roman"/>
                <w:color w:val="auto"/>
                <w:sz w:val="24"/>
                <w:szCs w:val="24"/>
                <w:lang w:val="en-US" w:eastAsia="zh-CN"/>
              </w:rPr>
              <w:t>黏土</w:t>
            </w:r>
          </w:p>
        </w:tc>
        <w:tc>
          <w:tcPr>
            <w:tcW w:w="875"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深坑</w:t>
            </w:r>
          </w:p>
        </w:tc>
        <w:tc>
          <w:tcPr>
            <w:tcW w:w="1013"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155800</w:t>
            </w:r>
          </w:p>
        </w:tc>
        <w:tc>
          <w:tcPr>
            <w:tcW w:w="1129"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29105</w:t>
            </w:r>
          </w:p>
        </w:tc>
        <w:tc>
          <w:tcPr>
            <w:tcW w:w="1064"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900"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ZL009</w:t>
            </w:r>
          </w:p>
        </w:tc>
        <w:tc>
          <w:tcPr>
            <w:tcW w:w="1400"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绥棱县双岔河镇繁荣砖厂</w:t>
            </w:r>
          </w:p>
        </w:tc>
        <w:tc>
          <w:tcPr>
            <w:tcW w:w="840"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停采</w:t>
            </w:r>
          </w:p>
        </w:tc>
        <w:tc>
          <w:tcPr>
            <w:tcW w:w="1335"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砖瓦</w:t>
            </w:r>
            <w:r>
              <w:rPr>
                <w:rFonts w:hint="eastAsia" w:cs="Times New Roman"/>
                <w:color w:val="auto"/>
                <w:sz w:val="24"/>
                <w:szCs w:val="24"/>
                <w:lang w:val="en-US" w:eastAsia="zh-CN"/>
              </w:rPr>
              <w:t>黏土</w:t>
            </w:r>
          </w:p>
        </w:tc>
        <w:tc>
          <w:tcPr>
            <w:tcW w:w="875"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深坑</w:t>
            </w:r>
          </w:p>
        </w:tc>
        <w:tc>
          <w:tcPr>
            <w:tcW w:w="1013"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52000</w:t>
            </w:r>
          </w:p>
        </w:tc>
        <w:tc>
          <w:tcPr>
            <w:tcW w:w="1129"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18554</w:t>
            </w:r>
          </w:p>
        </w:tc>
        <w:tc>
          <w:tcPr>
            <w:tcW w:w="1064"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900"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ZL010</w:t>
            </w:r>
          </w:p>
        </w:tc>
        <w:tc>
          <w:tcPr>
            <w:tcW w:w="1400"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绥棱县泥尔河乡砖厂</w:t>
            </w:r>
          </w:p>
        </w:tc>
        <w:tc>
          <w:tcPr>
            <w:tcW w:w="840"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停采</w:t>
            </w:r>
          </w:p>
        </w:tc>
        <w:tc>
          <w:tcPr>
            <w:tcW w:w="1335"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砖瓦</w:t>
            </w:r>
            <w:r>
              <w:rPr>
                <w:rFonts w:hint="eastAsia" w:cs="Times New Roman"/>
                <w:color w:val="auto"/>
                <w:sz w:val="24"/>
                <w:szCs w:val="24"/>
                <w:lang w:val="en-US" w:eastAsia="zh-CN"/>
              </w:rPr>
              <w:t>黏土</w:t>
            </w:r>
          </w:p>
        </w:tc>
        <w:tc>
          <w:tcPr>
            <w:tcW w:w="875"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深坑</w:t>
            </w:r>
          </w:p>
        </w:tc>
        <w:tc>
          <w:tcPr>
            <w:tcW w:w="1013"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101100</w:t>
            </w:r>
          </w:p>
        </w:tc>
        <w:tc>
          <w:tcPr>
            <w:tcW w:w="1129"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17865</w:t>
            </w:r>
          </w:p>
        </w:tc>
        <w:tc>
          <w:tcPr>
            <w:tcW w:w="1064"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900"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ZL011</w:t>
            </w:r>
          </w:p>
        </w:tc>
        <w:tc>
          <w:tcPr>
            <w:tcW w:w="1400"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绥棱县林业局建兴花岗岩石材矿</w:t>
            </w:r>
          </w:p>
        </w:tc>
        <w:tc>
          <w:tcPr>
            <w:tcW w:w="840"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停采</w:t>
            </w:r>
          </w:p>
        </w:tc>
        <w:tc>
          <w:tcPr>
            <w:tcW w:w="1335"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砖瓦</w:t>
            </w:r>
            <w:r>
              <w:rPr>
                <w:rFonts w:hint="eastAsia" w:cs="Times New Roman"/>
                <w:color w:val="auto"/>
                <w:sz w:val="24"/>
                <w:szCs w:val="24"/>
                <w:lang w:val="en-US" w:eastAsia="zh-CN"/>
              </w:rPr>
              <w:t>黏土</w:t>
            </w:r>
          </w:p>
        </w:tc>
        <w:tc>
          <w:tcPr>
            <w:tcW w:w="875"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削山</w:t>
            </w:r>
          </w:p>
        </w:tc>
        <w:tc>
          <w:tcPr>
            <w:tcW w:w="1013"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176351</w:t>
            </w:r>
          </w:p>
        </w:tc>
        <w:tc>
          <w:tcPr>
            <w:tcW w:w="1129"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180000</w:t>
            </w:r>
          </w:p>
        </w:tc>
        <w:tc>
          <w:tcPr>
            <w:tcW w:w="1064"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未恢复</w:t>
            </w:r>
          </w:p>
        </w:tc>
      </w:tr>
    </w:tbl>
    <w:p>
      <w:pPr>
        <w:ind w:firstLine="560"/>
        <w:rPr>
          <w:rFonts w:hint="eastAsia" w:eastAsia="仿宋_GB2312" w:cs="Times New Roman"/>
          <w:color w:val="auto"/>
          <w:lang w:val="en-US" w:eastAsia="zh-CN"/>
        </w:rPr>
      </w:pPr>
      <w:r>
        <w:rPr>
          <w:rFonts w:hint="eastAsia" w:eastAsia="仿宋_GB2312" w:cs="Times New Roman"/>
          <w:color w:val="auto"/>
          <w:lang w:val="en-US" w:eastAsia="zh-CN"/>
        </w:rPr>
        <w:t>整治任务：加大督促关闭退出矿山恢复治理力度，完成矿山环境治理恢复进度。</w:t>
      </w:r>
      <w:r>
        <w:rPr>
          <w:rFonts w:cs="Times New Roman"/>
          <w:color w:val="auto"/>
        </w:rPr>
        <w:t>建立健全矿山地质环境管理体系，加强对土地复垦方案的审查和生产期间的监督管理，在矿山关闭前进行地质环境治理与土地复垦成果验收。健全水土保持监管制度，加强水土保持管理。</w:t>
      </w:r>
    </w:p>
    <w:p>
      <w:pPr>
        <w:pStyle w:val="4"/>
        <w:spacing w:line="600" w:lineRule="exact"/>
        <w:ind w:firstLine="0" w:firstLineChars="0"/>
        <w:rPr>
          <w:rFonts w:hint="default" w:eastAsia="仿宋" w:cs="Times New Roman"/>
          <w:color w:val="auto"/>
          <w:sz w:val="30"/>
          <w:szCs w:val="30"/>
          <w:lang w:val="en-US" w:eastAsia="zh-CN"/>
        </w:rPr>
      </w:pPr>
      <w:r>
        <w:rPr>
          <w:rFonts w:hint="eastAsia" w:cs="Times New Roman"/>
          <w:color w:val="auto"/>
          <w:sz w:val="30"/>
          <w:szCs w:val="30"/>
        </w:rPr>
        <w:t>5</w:t>
      </w:r>
      <w:r>
        <w:rPr>
          <w:rFonts w:cs="Times New Roman"/>
          <w:color w:val="auto"/>
          <w:sz w:val="30"/>
          <w:szCs w:val="30"/>
        </w:rPr>
        <w:t>.2.</w:t>
      </w:r>
      <w:r>
        <w:rPr>
          <w:rFonts w:hint="eastAsia" w:cs="Times New Roman"/>
          <w:color w:val="auto"/>
          <w:sz w:val="30"/>
          <w:szCs w:val="30"/>
          <w:lang w:val="en-US" w:eastAsia="zh-CN"/>
        </w:rPr>
        <w:t>5克音河流域水质普遍存在超标</w:t>
      </w:r>
    </w:p>
    <w:p>
      <w:pPr>
        <w:ind w:firstLine="600"/>
        <w:rPr>
          <w:rFonts w:hint="default" w:ascii="Times New Roman" w:hAnsi="Times New Roman" w:cs="Times New Roman"/>
          <w:color w:val="auto"/>
          <w:sz w:val="30"/>
          <w:szCs w:val="30"/>
          <w:lang w:val="en-US" w:eastAsia="zh-CN"/>
        </w:rPr>
      </w:pPr>
      <w:r>
        <w:rPr>
          <w:rFonts w:hint="eastAsia" w:ascii="Times New Roman" w:hAnsi="Times New Roman" w:cs="Times New Roman"/>
          <w:color w:val="auto"/>
          <w:sz w:val="30"/>
          <w:szCs w:val="30"/>
          <w:lang w:val="en-US" w:eastAsia="zh-CN"/>
        </w:rPr>
        <w:t>根据《克音河绥棱县水污染综合治理规划》对克音河流域水质的监测结果，克音河干流与支流普遍存在水质超标情况。除个别断面能达到Ⅲ类水质要求外，其他断面一般为Ⅴ类或劣Ⅴ类水体。其超标原因为乡镇污水收集率低、下水管线不足，畜禽废弃物资源化利用率低、农业面源等多方面因素。</w:t>
      </w:r>
    </w:p>
    <w:p>
      <w:pPr>
        <w:pStyle w:val="4"/>
        <w:spacing w:line="600" w:lineRule="exact"/>
        <w:ind w:firstLine="0" w:firstLineChars="0"/>
        <w:rPr>
          <w:rFonts w:cs="Times New Roman"/>
          <w:color w:val="auto"/>
          <w:sz w:val="30"/>
          <w:szCs w:val="30"/>
        </w:rPr>
      </w:pPr>
      <w:r>
        <w:rPr>
          <w:rFonts w:hint="eastAsia" w:cs="Times New Roman"/>
          <w:color w:val="auto"/>
          <w:sz w:val="30"/>
          <w:szCs w:val="30"/>
        </w:rPr>
        <w:t>5</w:t>
      </w:r>
      <w:r>
        <w:rPr>
          <w:rFonts w:cs="Times New Roman"/>
          <w:color w:val="auto"/>
          <w:sz w:val="30"/>
          <w:szCs w:val="30"/>
        </w:rPr>
        <w:t>.2.</w:t>
      </w:r>
      <w:r>
        <w:rPr>
          <w:rFonts w:hint="eastAsia" w:cs="Times New Roman"/>
          <w:color w:val="auto"/>
          <w:sz w:val="30"/>
          <w:szCs w:val="30"/>
          <w:lang w:val="en-US" w:eastAsia="zh-CN"/>
        </w:rPr>
        <w:t>6</w:t>
      </w:r>
      <w:r>
        <w:rPr>
          <w:rFonts w:cs="Times New Roman"/>
          <w:color w:val="auto"/>
          <w:sz w:val="30"/>
          <w:szCs w:val="30"/>
        </w:rPr>
        <w:t>城乡环境问题客观存在</w:t>
      </w:r>
    </w:p>
    <w:p>
      <w:pPr>
        <w:ind w:firstLine="600"/>
        <w:rPr>
          <w:rFonts w:cs="Times New Roman"/>
          <w:color w:val="auto"/>
          <w:sz w:val="30"/>
          <w:szCs w:val="30"/>
        </w:rPr>
      </w:pPr>
      <w:r>
        <w:rPr>
          <w:rFonts w:cs="Times New Roman"/>
          <w:color w:val="auto"/>
          <w:sz w:val="30"/>
          <w:szCs w:val="30"/>
        </w:rPr>
        <w:t>（</w:t>
      </w:r>
      <w:r>
        <w:rPr>
          <w:rFonts w:hint="eastAsia" w:cs="Times New Roman"/>
          <w:color w:val="auto"/>
          <w:sz w:val="30"/>
          <w:szCs w:val="30"/>
          <w:lang w:val="en-US" w:eastAsia="zh-CN"/>
        </w:rPr>
        <w:t>1</w:t>
      </w:r>
      <w:r>
        <w:rPr>
          <w:rFonts w:cs="Times New Roman"/>
          <w:color w:val="auto"/>
          <w:sz w:val="30"/>
          <w:szCs w:val="30"/>
        </w:rPr>
        <w:t>）城乡建设用地</w:t>
      </w:r>
    </w:p>
    <w:p>
      <w:pPr>
        <w:ind w:firstLine="600"/>
        <w:rPr>
          <w:rFonts w:cs="Times New Roman"/>
          <w:color w:val="auto"/>
          <w:sz w:val="30"/>
          <w:szCs w:val="30"/>
        </w:rPr>
      </w:pPr>
      <w:r>
        <w:rPr>
          <w:rFonts w:cs="Times New Roman"/>
          <w:color w:val="auto"/>
          <w:sz w:val="30"/>
          <w:szCs w:val="30"/>
        </w:rPr>
        <w:t>随着绥棱县的发展，城镇和工业用地区地面硬化率增加，绿化率降低，导致大气降雨主要以地表径流形式流失，地表水补给浅层地下水能力降低，影响区域生态环境。绥棱县各类</w:t>
      </w:r>
      <w:r>
        <w:rPr>
          <w:rFonts w:hint="eastAsia" w:cs="Times New Roman"/>
          <w:color w:val="auto"/>
          <w:sz w:val="30"/>
          <w:szCs w:val="30"/>
          <w:lang w:eastAsia="zh-CN"/>
        </w:rPr>
        <w:t>基础设施建设</w:t>
      </w:r>
      <w:r>
        <w:rPr>
          <w:rFonts w:cs="Times New Roman"/>
          <w:color w:val="auto"/>
          <w:sz w:val="30"/>
          <w:szCs w:val="30"/>
        </w:rPr>
        <w:t>干扰程度增强，生态景观完整性进一步受损。工程建设完成后，人类活动增多，干扰不断加强，景观破碎程度加剧，对生态系统完整性造成无法挽回的损害。</w:t>
      </w:r>
    </w:p>
    <w:p>
      <w:pPr>
        <w:ind w:firstLine="600"/>
        <w:rPr>
          <w:rFonts w:cs="Times New Roman"/>
          <w:color w:val="auto"/>
          <w:sz w:val="30"/>
          <w:szCs w:val="30"/>
        </w:rPr>
      </w:pPr>
      <w:r>
        <w:rPr>
          <w:rFonts w:cs="Times New Roman"/>
          <w:color w:val="auto"/>
          <w:sz w:val="30"/>
          <w:szCs w:val="30"/>
        </w:rPr>
        <w:t>（</w:t>
      </w:r>
      <w:r>
        <w:rPr>
          <w:rFonts w:hint="eastAsia" w:cs="Times New Roman"/>
          <w:color w:val="auto"/>
          <w:sz w:val="30"/>
          <w:szCs w:val="30"/>
          <w:lang w:val="en-US" w:eastAsia="zh-CN"/>
        </w:rPr>
        <w:t>2</w:t>
      </w:r>
      <w:r>
        <w:rPr>
          <w:rFonts w:cs="Times New Roman"/>
          <w:color w:val="auto"/>
          <w:sz w:val="30"/>
          <w:szCs w:val="30"/>
        </w:rPr>
        <w:t>）基础设施</w:t>
      </w:r>
    </w:p>
    <w:p>
      <w:pPr>
        <w:ind w:firstLine="600"/>
        <w:rPr>
          <w:rFonts w:cs="Times New Roman"/>
          <w:color w:val="auto"/>
          <w:sz w:val="30"/>
          <w:szCs w:val="30"/>
        </w:rPr>
      </w:pPr>
      <w:r>
        <w:rPr>
          <w:rFonts w:cs="Times New Roman"/>
          <w:color w:val="auto"/>
          <w:sz w:val="30"/>
          <w:szCs w:val="30"/>
        </w:rPr>
        <w:t>绥棱镇中心城区为合流制排水管道，建设年代较早，设计标准较低，随着城市建设的不断发展，城区硬化面积增加，雨水综合径流系数也有所增加，导致原有合流管道管径普遍偏小，暴雨季节城区内积水严重，影响人民群众的正常的生产和生活；同时大量雨、污混合污水在街道上滞留，夹杂着城市垃圾，导致城区污染严重，不利于人民群众的生活健康。对于合流制排水系统，晴天和雨天流入污水处理厂的水量变化较大，使得污水处理厂的冲击负荷较大，运行管理不便，雨天时易出现排水超标的情况，不利于污水处理厂达标运行。</w:t>
      </w:r>
    </w:p>
    <w:p>
      <w:pPr>
        <w:ind w:firstLine="600"/>
        <w:rPr>
          <w:rFonts w:cs="Times New Roman"/>
          <w:color w:val="auto"/>
          <w:sz w:val="30"/>
          <w:szCs w:val="30"/>
        </w:rPr>
      </w:pPr>
      <w:r>
        <w:rPr>
          <w:rFonts w:cs="Times New Roman"/>
          <w:color w:val="auto"/>
          <w:sz w:val="30"/>
          <w:szCs w:val="30"/>
        </w:rPr>
        <w:t>另一方面，已建成的排水管道，由于年久失修、管理经费不足、维护水平较低等问题，存在大量的逆坡、旧损、大管接小管、变形、塌陷、淤堵、树根破坏等问题。这不仅无法充分发挥管道的排水能力，管道中的雨水极易冒出地面产生内涝。</w:t>
      </w:r>
    </w:p>
    <w:p>
      <w:pPr>
        <w:ind w:firstLine="600"/>
        <w:rPr>
          <w:rFonts w:cs="Times New Roman"/>
          <w:color w:val="auto"/>
          <w:sz w:val="30"/>
          <w:szCs w:val="30"/>
        </w:rPr>
      </w:pPr>
      <w:r>
        <w:rPr>
          <w:rFonts w:cs="Times New Roman"/>
          <w:color w:val="auto"/>
          <w:sz w:val="30"/>
          <w:szCs w:val="30"/>
        </w:rPr>
        <w:t>绥棱县农村生活污水大部分无污水收集、处理系统，部分未改厕村屯生活污水无法得到有效的资源化利用。绥棱县水系分布广泛，散排的农村生活污水随雨水径流进入水体，进而产生黑臭水体，加剧地表水体的污染，农村人居环境质量较差。</w:t>
      </w:r>
    </w:p>
    <w:p>
      <w:pPr>
        <w:ind w:firstLine="560"/>
        <w:rPr>
          <w:rFonts w:hint="eastAsia" w:eastAsia="仿宋_GB2312" w:cs="Times New Roman"/>
          <w:color w:val="auto"/>
          <w:lang w:val="en-US" w:eastAsia="zh-CN"/>
        </w:rPr>
      </w:pPr>
      <w:r>
        <w:rPr>
          <w:rFonts w:hint="eastAsia" w:eastAsia="仿宋_GB2312" w:cs="Times New Roman"/>
          <w:color w:val="auto"/>
          <w:lang w:val="en-US" w:eastAsia="zh-CN"/>
        </w:rPr>
        <w:t>整治任务：针对城乡环境存在的问题，实施城镇排水管网雨污分流改造，完善城市排水与暴雨内涝防治体系。推进农村生活垃圾集中收集处理，完善农村聚居点卫生厕所、污水处理、垃圾收运设施，改善人居生活环境。</w:t>
      </w:r>
    </w:p>
    <w:p>
      <w:pPr>
        <w:pStyle w:val="4"/>
        <w:spacing w:line="600" w:lineRule="exact"/>
        <w:ind w:firstLine="0" w:firstLineChars="0"/>
        <w:rPr>
          <w:rFonts w:hint="default" w:eastAsia="仿宋" w:cs="Times New Roman"/>
          <w:color w:val="auto"/>
          <w:sz w:val="30"/>
          <w:szCs w:val="30"/>
          <w:lang w:val="en-US" w:eastAsia="zh-CN"/>
        </w:rPr>
      </w:pPr>
      <w:r>
        <w:rPr>
          <w:rFonts w:hint="eastAsia" w:cs="Times New Roman"/>
          <w:color w:val="auto"/>
          <w:sz w:val="30"/>
          <w:szCs w:val="30"/>
        </w:rPr>
        <w:t>5.2</w:t>
      </w:r>
      <w:r>
        <w:rPr>
          <w:rFonts w:cs="Times New Roman"/>
          <w:color w:val="auto"/>
          <w:sz w:val="30"/>
          <w:szCs w:val="30"/>
        </w:rPr>
        <w:t>.</w:t>
      </w:r>
      <w:r>
        <w:rPr>
          <w:rFonts w:hint="eastAsia" w:cs="Times New Roman"/>
          <w:color w:val="auto"/>
          <w:sz w:val="30"/>
          <w:szCs w:val="30"/>
          <w:lang w:val="en-US" w:eastAsia="zh-CN"/>
        </w:rPr>
        <w:t>7</w:t>
      </w:r>
      <w:r>
        <w:rPr>
          <w:rFonts w:cs="Times New Roman"/>
          <w:color w:val="auto"/>
          <w:sz w:val="30"/>
          <w:szCs w:val="30"/>
        </w:rPr>
        <w:t xml:space="preserve"> </w:t>
      </w:r>
      <w:r>
        <w:rPr>
          <w:rFonts w:hint="eastAsia" w:cs="Times New Roman"/>
          <w:color w:val="auto"/>
          <w:sz w:val="30"/>
          <w:szCs w:val="30"/>
          <w:lang w:val="en-US" w:eastAsia="zh-CN"/>
        </w:rPr>
        <w:t>黑土地质量退化、农业废弃物处置不当</w:t>
      </w:r>
    </w:p>
    <w:p>
      <w:pPr>
        <w:pStyle w:val="6"/>
        <w:ind w:left="0" w:firstLine="560"/>
        <w:rPr>
          <w:rFonts w:hint="eastAsia" w:cs="Times New Roman"/>
          <w:color w:val="auto"/>
          <w:lang w:val="en-US" w:eastAsia="zh-CN"/>
        </w:rPr>
      </w:pPr>
      <w:r>
        <w:rPr>
          <w:rFonts w:hint="eastAsia" w:cs="Times New Roman"/>
          <w:color w:val="auto"/>
          <w:lang w:val="en-US" w:eastAsia="zh-CN"/>
        </w:rPr>
        <w:t>绥棱县黑土地质量退化原因包括以下几个方面：第一，</w:t>
      </w:r>
      <w:r>
        <w:rPr>
          <w:rFonts w:cs="Times New Roman"/>
          <w:color w:val="auto"/>
        </w:rPr>
        <w:t>根据绥棱县地形地貌特征，农田生态系统主要分布于县域中部和西南部，</w:t>
      </w:r>
      <w:r>
        <w:rPr>
          <w:rFonts w:hint="eastAsia" w:cs="Times New Roman"/>
          <w:color w:val="auto"/>
          <w:lang w:val="en-US" w:eastAsia="zh-CN"/>
        </w:rPr>
        <w:t>坡耕地广泛分布，成片的耕地易受到风力侵蚀，同时降雨加剧了区域水土流失，导致土壤肥力下降，粮食产量下降；第二，</w:t>
      </w:r>
      <w:r>
        <w:rPr>
          <w:rFonts w:cs="Times New Roman"/>
          <w:color w:val="auto"/>
        </w:rPr>
        <w:t>绥棱县域内水系分布较广，水利基础设施滞后，防灾抗灾能力弱，在大雨或暴雨来临时，易发生洪涝灾害，造成区域水土流失；</w:t>
      </w:r>
      <w:r>
        <w:rPr>
          <w:rFonts w:hint="eastAsia" w:cs="Times New Roman"/>
          <w:color w:val="auto"/>
          <w:lang w:val="en-US" w:eastAsia="zh-CN"/>
        </w:rPr>
        <w:t>第三，</w:t>
      </w:r>
      <w:r>
        <w:rPr>
          <w:rFonts w:cs="Times New Roman"/>
          <w:color w:val="auto"/>
        </w:rPr>
        <w:t>随着土地长期过度开发利用，</w:t>
      </w:r>
      <w:r>
        <w:rPr>
          <w:rFonts w:hint="eastAsia" w:cs="Times New Roman"/>
          <w:color w:val="auto"/>
          <w:lang w:val="en-US" w:eastAsia="zh-CN"/>
        </w:rPr>
        <w:t>耕作层变浅，</w:t>
      </w:r>
      <w:r>
        <w:rPr>
          <w:rFonts w:cs="Times New Roman"/>
          <w:color w:val="auto"/>
        </w:rPr>
        <w:t>破坏了土壤质地，</w:t>
      </w:r>
      <w:r>
        <w:rPr>
          <w:rFonts w:hint="eastAsia" w:cs="Times New Roman"/>
          <w:color w:val="auto"/>
          <w:lang w:val="en-US" w:eastAsia="zh-CN"/>
        </w:rPr>
        <w:t>土壤养分和有机质含量减少，养分比例失调，供给能力减弱，土壤板结，保水保肥性能降低，土壤中有害物质增多，</w:t>
      </w:r>
      <w:r>
        <w:rPr>
          <w:rFonts w:cs="Times New Roman"/>
          <w:color w:val="auto"/>
        </w:rPr>
        <w:t>土壤退化严重，中低产田比重逐渐增加，土壤质量下降，粮食减产，严重威胁了国家粮食安全和区域经济发展</w:t>
      </w:r>
      <w:r>
        <w:rPr>
          <w:rFonts w:hint="eastAsia" w:cs="Times New Roman"/>
          <w:color w:val="auto"/>
          <w:lang w:eastAsia="zh-CN"/>
        </w:rPr>
        <w:t>；</w:t>
      </w:r>
      <w:r>
        <w:rPr>
          <w:rFonts w:hint="eastAsia" w:cs="Times New Roman"/>
          <w:color w:val="auto"/>
          <w:lang w:val="en-US" w:eastAsia="zh-CN"/>
        </w:rPr>
        <w:t>第四，农田种植结构单一，缺乏轮作，同时农户为了提高产量，增加了农药化肥施用量，施肥方法不科学，导致地力下降，土壤板结，残留的农药化肥在土壤中积累，对土壤中微生物产生影响。</w:t>
      </w:r>
    </w:p>
    <w:p>
      <w:pPr>
        <w:pStyle w:val="6"/>
        <w:ind w:left="0" w:firstLine="560"/>
        <w:rPr>
          <w:rFonts w:cs="Times New Roman"/>
          <w:color w:val="auto"/>
        </w:rPr>
      </w:pPr>
      <w:r>
        <w:rPr>
          <w:rFonts w:hint="eastAsia" w:cs="Times New Roman"/>
          <w:color w:val="auto"/>
          <w:lang w:val="en-US" w:eastAsia="zh-CN"/>
        </w:rPr>
        <w:t>近年来，绥棱县积极开展测土配方和三减工作，实施面积占全县农田面积比例较低。至2021年，化肥、农药等废弃包装袋以及废旧薄膜等农田废弃物总回收率为80%，总回收率一般</w:t>
      </w:r>
      <w:r>
        <w:rPr>
          <w:rFonts w:cs="Times New Roman"/>
          <w:color w:val="auto"/>
        </w:rPr>
        <w:t>。</w:t>
      </w:r>
    </w:p>
    <w:p>
      <w:pPr>
        <w:ind w:firstLine="560"/>
        <w:rPr>
          <w:rFonts w:hint="eastAsia" w:eastAsia="仿宋_GB2312" w:cs="Times New Roman"/>
          <w:color w:val="auto"/>
          <w:lang w:val="en-US" w:eastAsia="zh-CN"/>
        </w:rPr>
      </w:pPr>
      <w:r>
        <w:rPr>
          <w:rFonts w:hint="eastAsia" w:eastAsia="仿宋_GB2312" w:cs="Times New Roman"/>
          <w:color w:val="auto"/>
          <w:lang w:val="en-US" w:eastAsia="zh-CN"/>
        </w:rPr>
        <w:t>整治任务：针对农田生态系统实施高标准农田、水土保持综合治理、农业面源污染协同治理等工程，提高耕地质量，完善耕作制度和农田管理模式。</w:t>
      </w:r>
    </w:p>
    <w:p>
      <w:pPr>
        <w:rPr>
          <w:color w:val="auto"/>
        </w:rPr>
      </w:pPr>
    </w:p>
    <w:p>
      <w:pPr>
        <w:pStyle w:val="15"/>
        <w:ind w:left="560" w:firstLine="400"/>
        <w:rPr>
          <w:rFonts w:cs="Times New Roman"/>
          <w:color w:val="auto"/>
        </w:rPr>
      </w:pPr>
    </w:p>
    <w:p>
      <w:pPr>
        <w:pStyle w:val="15"/>
        <w:ind w:left="560" w:firstLine="400"/>
        <w:rPr>
          <w:rFonts w:cs="Times New Roman"/>
          <w:color w:val="auto"/>
        </w:rPr>
        <w:sectPr>
          <w:pgSz w:w="11906" w:h="16838"/>
          <w:pgMar w:top="1440" w:right="1800" w:bottom="1440" w:left="1800" w:header="851" w:footer="992" w:gutter="0"/>
          <w:cols w:space="425" w:num="1"/>
          <w:docGrid w:type="lines" w:linePitch="312" w:charSpace="0"/>
        </w:sectPr>
      </w:pPr>
    </w:p>
    <w:p>
      <w:pPr>
        <w:pStyle w:val="2"/>
        <w:ind w:firstLine="0" w:firstLineChars="0"/>
        <w:rPr>
          <w:rFonts w:hint="default" w:ascii="Times New Roman" w:hAnsi="Times New Roman" w:eastAsia="仿宋"/>
          <w:color w:val="auto"/>
        </w:rPr>
      </w:pPr>
      <w:bookmarkStart w:id="41" w:name="_Toc1626"/>
      <w:r>
        <w:rPr>
          <w:rFonts w:ascii="Times New Roman" w:hAnsi="Times New Roman" w:eastAsia="仿宋"/>
          <w:color w:val="auto"/>
        </w:rPr>
        <w:t>6</w:t>
      </w:r>
      <w:r>
        <w:rPr>
          <w:rFonts w:hint="default" w:ascii="Times New Roman" w:hAnsi="Times New Roman" w:eastAsia="仿宋"/>
          <w:color w:val="auto"/>
        </w:rPr>
        <w:t xml:space="preserve"> 生态功能保护修复分区布局</w:t>
      </w:r>
      <w:bookmarkEnd w:id="41"/>
    </w:p>
    <w:p>
      <w:pPr>
        <w:ind w:firstLine="560"/>
        <w:rPr>
          <w:rFonts w:cs="Times New Roman"/>
          <w:color w:val="auto"/>
          <w:szCs w:val="22"/>
        </w:rPr>
      </w:pPr>
      <w:r>
        <w:rPr>
          <w:rFonts w:cs="Times New Roman"/>
          <w:color w:val="auto"/>
          <w:szCs w:val="22"/>
        </w:rPr>
        <w:t>规划根据绥棱县存在的生态问题，合理确定全县不同地区生态修复的主攻方向和重点任务，综合考虑维持自然地貌的连续性，充分与绥棱县国土空间规划三区三线成果相衔接，遵循不打破乡镇界线的原则，将全县生态功能保护修复分区划分为3个区域，分别为：I区-努敏河上游水源涵养和</w:t>
      </w:r>
      <w:r>
        <w:rPr>
          <w:rFonts w:hint="eastAsia" w:cs="Times New Roman"/>
          <w:color w:val="auto"/>
          <w:szCs w:val="22"/>
        </w:rPr>
        <w:t>土壤保持</w:t>
      </w:r>
      <w:r>
        <w:rPr>
          <w:rFonts w:cs="Times New Roman"/>
          <w:color w:val="auto"/>
          <w:szCs w:val="22"/>
        </w:rPr>
        <w:t>生态保护修复区；II区-努敏河—墨尔根河水源涵养和土壤保持生态保护修复区；III区-努敏河—克音河土壤保持和水源涵养生态保护修复区。具体划分如下：</w:t>
      </w:r>
    </w:p>
    <w:p>
      <w:pPr>
        <w:spacing w:line="240" w:lineRule="auto"/>
        <w:ind w:firstLine="0" w:firstLineChars="0"/>
        <w:jc w:val="center"/>
        <w:rPr>
          <w:rFonts w:cs="Times New Roman"/>
          <w:b/>
          <w:bCs/>
          <w:color w:val="auto"/>
        </w:rPr>
      </w:pPr>
      <w:r>
        <w:rPr>
          <w:rFonts w:cs="Times New Roman"/>
          <w:b/>
          <w:bCs/>
          <w:color w:val="auto"/>
        </w:rPr>
        <w:t>表5-1  绥棱县生态功能保护修复分区</w:t>
      </w:r>
    </w:p>
    <w:tbl>
      <w:tblPr>
        <w:tblStyle w:val="16"/>
        <w:tblW w:w="83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
        <w:gridCol w:w="816"/>
        <w:gridCol w:w="3581"/>
        <w:gridCol w:w="31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87" w:type="dxa"/>
            <w:vAlign w:val="center"/>
          </w:tcPr>
          <w:p>
            <w:pPr>
              <w:spacing w:line="240" w:lineRule="auto"/>
              <w:ind w:firstLine="0" w:firstLineChars="0"/>
              <w:jc w:val="center"/>
              <w:rPr>
                <w:rFonts w:cs="Times New Roman"/>
                <w:b/>
                <w:bCs/>
                <w:color w:val="auto"/>
                <w:sz w:val="24"/>
                <w:szCs w:val="24"/>
              </w:rPr>
            </w:pPr>
            <w:r>
              <w:rPr>
                <w:rFonts w:cs="Times New Roman"/>
                <w:b/>
                <w:bCs/>
                <w:color w:val="auto"/>
                <w:sz w:val="24"/>
                <w:szCs w:val="24"/>
              </w:rPr>
              <w:t>序号</w:t>
            </w:r>
          </w:p>
        </w:tc>
        <w:tc>
          <w:tcPr>
            <w:tcW w:w="816" w:type="dxa"/>
            <w:vAlign w:val="center"/>
          </w:tcPr>
          <w:p>
            <w:pPr>
              <w:spacing w:line="240" w:lineRule="auto"/>
              <w:ind w:firstLine="0" w:firstLineChars="0"/>
              <w:jc w:val="center"/>
              <w:rPr>
                <w:rFonts w:cs="Times New Roman"/>
                <w:b/>
                <w:bCs/>
                <w:color w:val="auto"/>
                <w:sz w:val="24"/>
                <w:szCs w:val="24"/>
              </w:rPr>
            </w:pPr>
            <w:r>
              <w:rPr>
                <w:rFonts w:cs="Times New Roman"/>
                <w:b/>
                <w:bCs/>
                <w:color w:val="auto"/>
                <w:sz w:val="24"/>
                <w:szCs w:val="24"/>
              </w:rPr>
              <w:t>编号</w:t>
            </w:r>
          </w:p>
        </w:tc>
        <w:tc>
          <w:tcPr>
            <w:tcW w:w="3581" w:type="dxa"/>
            <w:vAlign w:val="center"/>
          </w:tcPr>
          <w:p>
            <w:pPr>
              <w:spacing w:line="240" w:lineRule="auto"/>
              <w:ind w:firstLine="0" w:firstLineChars="0"/>
              <w:jc w:val="center"/>
              <w:rPr>
                <w:rFonts w:cs="Times New Roman"/>
                <w:b/>
                <w:bCs/>
                <w:color w:val="auto"/>
                <w:sz w:val="24"/>
                <w:szCs w:val="24"/>
              </w:rPr>
            </w:pPr>
            <w:r>
              <w:rPr>
                <w:rFonts w:cs="Times New Roman"/>
                <w:b/>
                <w:bCs/>
                <w:color w:val="auto"/>
                <w:sz w:val="24"/>
                <w:szCs w:val="24"/>
              </w:rPr>
              <w:t>分区名称</w:t>
            </w:r>
          </w:p>
        </w:tc>
        <w:tc>
          <w:tcPr>
            <w:tcW w:w="3166" w:type="dxa"/>
            <w:vAlign w:val="center"/>
          </w:tcPr>
          <w:p>
            <w:pPr>
              <w:spacing w:line="240" w:lineRule="auto"/>
              <w:ind w:firstLine="0" w:firstLineChars="0"/>
              <w:jc w:val="center"/>
              <w:rPr>
                <w:rFonts w:cs="Times New Roman"/>
                <w:b/>
                <w:bCs/>
                <w:color w:val="auto"/>
                <w:sz w:val="24"/>
                <w:szCs w:val="24"/>
              </w:rPr>
            </w:pPr>
            <w:r>
              <w:rPr>
                <w:rFonts w:cs="Times New Roman"/>
                <w:b/>
                <w:bCs/>
                <w:color w:val="auto"/>
                <w:sz w:val="24"/>
                <w:szCs w:val="24"/>
              </w:rPr>
              <w:t>所辖乡镇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787" w:type="dxa"/>
            <w:vAlign w:val="center"/>
          </w:tcPr>
          <w:p>
            <w:pPr>
              <w:spacing w:line="240" w:lineRule="auto"/>
              <w:ind w:firstLine="0" w:firstLineChars="0"/>
              <w:jc w:val="center"/>
              <w:rPr>
                <w:rFonts w:cs="Times New Roman"/>
                <w:color w:val="auto"/>
                <w:sz w:val="24"/>
                <w:szCs w:val="24"/>
              </w:rPr>
            </w:pPr>
            <w:r>
              <w:rPr>
                <w:rFonts w:cs="Times New Roman"/>
                <w:color w:val="auto"/>
                <w:sz w:val="24"/>
                <w:szCs w:val="24"/>
              </w:rPr>
              <w:t>1</w:t>
            </w:r>
          </w:p>
        </w:tc>
        <w:tc>
          <w:tcPr>
            <w:tcW w:w="816" w:type="dxa"/>
            <w:vAlign w:val="center"/>
          </w:tcPr>
          <w:p>
            <w:pPr>
              <w:spacing w:line="240" w:lineRule="auto"/>
              <w:ind w:firstLine="0" w:firstLineChars="0"/>
              <w:jc w:val="center"/>
              <w:rPr>
                <w:rFonts w:cs="Times New Roman"/>
                <w:color w:val="auto"/>
                <w:sz w:val="24"/>
                <w:szCs w:val="24"/>
              </w:rPr>
            </w:pPr>
            <w:r>
              <w:rPr>
                <w:rFonts w:cs="Times New Roman"/>
                <w:color w:val="auto"/>
                <w:sz w:val="24"/>
                <w:szCs w:val="24"/>
              </w:rPr>
              <w:t>Ⅰ</w:t>
            </w:r>
          </w:p>
        </w:tc>
        <w:tc>
          <w:tcPr>
            <w:tcW w:w="3581" w:type="dxa"/>
            <w:vAlign w:val="center"/>
          </w:tcPr>
          <w:p>
            <w:pPr>
              <w:spacing w:line="240" w:lineRule="auto"/>
              <w:ind w:firstLine="0" w:firstLineChars="0"/>
              <w:jc w:val="center"/>
              <w:rPr>
                <w:rFonts w:cs="Times New Roman"/>
                <w:color w:val="auto"/>
                <w:sz w:val="24"/>
                <w:szCs w:val="24"/>
              </w:rPr>
            </w:pPr>
            <w:r>
              <w:rPr>
                <w:rFonts w:cs="Times New Roman"/>
                <w:color w:val="auto"/>
                <w:sz w:val="24"/>
                <w:szCs w:val="24"/>
              </w:rPr>
              <w:t>努敏河上游水源涵养和土壤保持生态保护修复区</w:t>
            </w:r>
          </w:p>
        </w:tc>
        <w:tc>
          <w:tcPr>
            <w:tcW w:w="3166" w:type="dxa"/>
            <w:vAlign w:val="center"/>
          </w:tcPr>
          <w:p>
            <w:pPr>
              <w:spacing w:line="240" w:lineRule="auto"/>
              <w:ind w:firstLine="0" w:firstLineChars="0"/>
              <w:jc w:val="center"/>
              <w:rPr>
                <w:rFonts w:cs="Times New Roman"/>
                <w:color w:val="auto"/>
                <w:sz w:val="24"/>
                <w:szCs w:val="24"/>
              </w:rPr>
            </w:pPr>
            <w:r>
              <w:rPr>
                <w:rFonts w:cs="Times New Roman"/>
                <w:color w:val="auto"/>
                <w:sz w:val="24"/>
                <w:szCs w:val="24"/>
              </w:rPr>
              <w:t>绥棱林业局、通北林业局、沾河林业局、四海店镇、黑龙江双岔河省级自然保护区、农垦绥化管理局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jc w:val="center"/>
        </w:trPr>
        <w:tc>
          <w:tcPr>
            <w:tcW w:w="787" w:type="dxa"/>
            <w:vAlign w:val="center"/>
          </w:tcPr>
          <w:p>
            <w:pPr>
              <w:spacing w:line="240" w:lineRule="auto"/>
              <w:ind w:firstLine="0" w:firstLineChars="0"/>
              <w:jc w:val="center"/>
              <w:rPr>
                <w:rFonts w:cs="Times New Roman"/>
                <w:color w:val="auto"/>
                <w:sz w:val="24"/>
                <w:szCs w:val="24"/>
              </w:rPr>
            </w:pPr>
            <w:r>
              <w:rPr>
                <w:rFonts w:cs="Times New Roman"/>
                <w:color w:val="auto"/>
                <w:sz w:val="24"/>
                <w:szCs w:val="24"/>
              </w:rPr>
              <w:t>2</w:t>
            </w:r>
          </w:p>
        </w:tc>
        <w:tc>
          <w:tcPr>
            <w:tcW w:w="816" w:type="dxa"/>
            <w:vAlign w:val="center"/>
          </w:tcPr>
          <w:p>
            <w:pPr>
              <w:spacing w:line="240" w:lineRule="auto"/>
              <w:ind w:firstLine="0" w:firstLineChars="0"/>
              <w:jc w:val="center"/>
              <w:rPr>
                <w:rFonts w:cs="Times New Roman"/>
                <w:color w:val="auto"/>
                <w:sz w:val="24"/>
                <w:szCs w:val="24"/>
              </w:rPr>
            </w:pPr>
            <w:r>
              <w:rPr>
                <w:rFonts w:eastAsia="宋体" w:cs="Times New Roman"/>
                <w:color w:val="auto"/>
                <w:sz w:val="24"/>
                <w:szCs w:val="24"/>
              </w:rPr>
              <w:t>Ⅱ</w:t>
            </w:r>
          </w:p>
        </w:tc>
        <w:tc>
          <w:tcPr>
            <w:tcW w:w="3581" w:type="dxa"/>
            <w:vAlign w:val="center"/>
          </w:tcPr>
          <w:p>
            <w:pPr>
              <w:spacing w:line="240" w:lineRule="auto"/>
              <w:ind w:firstLine="0" w:firstLineChars="0"/>
              <w:jc w:val="center"/>
              <w:rPr>
                <w:rFonts w:cs="Times New Roman"/>
                <w:color w:val="auto"/>
                <w:sz w:val="24"/>
                <w:szCs w:val="24"/>
              </w:rPr>
            </w:pPr>
            <w:r>
              <w:rPr>
                <w:rFonts w:cs="Times New Roman"/>
                <w:color w:val="auto"/>
                <w:sz w:val="24"/>
                <w:szCs w:val="24"/>
              </w:rPr>
              <w:t>努敏河—墨尔根河水源涵养和土壤保持生态保护修复区</w:t>
            </w:r>
          </w:p>
        </w:tc>
        <w:tc>
          <w:tcPr>
            <w:tcW w:w="3166" w:type="dxa"/>
            <w:vAlign w:val="center"/>
          </w:tcPr>
          <w:p>
            <w:pPr>
              <w:spacing w:line="240" w:lineRule="auto"/>
              <w:ind w:firstLine="0" w:firstLineChars="0"/>
              <w:jc w:val="center"/>
              <w:rPr>
                <w:rFonts w:cs="Times New Roman"/>
                <w:color w:val="auto"/>
                <w:sz w:val="24"/>
                <w:szCs w:val="24"/>
              </w:rPr>
            </w:pPr>
            <w:r>
              <w:rPr>
                <w:rFonts w:cs="Times New Roman"/>
                <w:color w:val="auto"/>
                <w:sz w:val="24"/>
                <w:szCs w:val="24"/>
              </w:rPr>
              <w:t>农垦绥化管理局、长山镇、上集镇、泥尔河乡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7" w:type="dxa"/>
            <w:vAlign w:val="center"/>
          </w:tcPr>
          <w:p>
            <w:pPr>
              <w:spacing w:line="240" w:lineRule="auto"/>
              <w:ind w:firstLine="0" w:firstLineChars="0"/>
              <w:jc w:val="center"/>
              <w:rPr>
                <w:rFonts w:cs="Times New Roman"/>
                <w:color w:val="auto"/>
                <w:sz w:val="24"/>
                <w:szCs w:val="24"/>
              </w:rPr>
            </w:pPr>
            <w:r>
              <w:rPr>
                <w:rFonts w:cs="Times New Roman"/>
                <w:color w:val="auto"/>
                <w:sz w:val="24"/>
                <w:szCs w:val="24"/>
              </w:rPr>
              <w:t>3</w:t>
            </w:r>
          </w:p>
        </w:tc>
        <w:tc>
          <w:tcPr>
            <w:tcW w:w="816" w:type="dxa"/>
            <w:vAlign w:val="center"/>
          </w:tcPr>
          <w:p>
            <w:pPr>
              <w:spacing w:line="240" w:lineRule="auto"/>
              <w:ind w:firstLine="0" w:firstLineChars="0"/>
              <w:jc w:val="center"/>
              <w:rPr>
                <w:rFonts w:cs="Times New Roman"/>
                <w:color w:val="auto"/>
                <w:sz w:val="24"/>
                <w:szCs w:val="24"/>
              </w:rPr>
            </w:pPr>
            <w:r>
              <w:rPr>
                <w:rFonts w:cs="Times New Roman"/>
                <w:color w:val="auto"/>
                <w:sz w:val="24"/>
                <w:szCs w:val="24"/>
              </w:rPr>
              <w:t>Ⅲ</w:t>
            </w:r>
          </w:p>
        </w:tc>
        <w:tc>
          <w:tcPr>
            <w:tcW w:w="3581" w:type="dxa"/>
            <w:vAlign w:val="center"/>
          </w:tcPr>
          <w:p>
            <w:pPr>
              <w:spacing w:line="240" w:lineRule="auto"/>
              <w:ind w:firstLine="0" w:firstLineChars="0"/>
              <w:jc w:val="center"/>
              <w:rPr>
                <w:rFonts w:cs="Times New Roman"/>
                <w:color w:val="auto"/>
                <w:sz w:val="24"/>
                <w:szCs w:val="24"/>
              </w:rPr>
            </w:pPr>
            <w:r>
              <w:rPr>
                <w:rFonts w:cs="Times New Roman"/>
                <w:color w:val="auto"/>
                <w:sz w:val="24"/>
                <w:szCs w:val="24"/>
              </w:rPr>
              <w:t>努敏河—克音河土壤保持生态保护修复区</w:t>
            </w:r>
          </w:p>
        </w:tc>
        <w:tc>
          <w:tcPr>
            <w:tcW w:w="3166" w:type="dxa"/>
            <w:vAlign w:val="center"/>
          </w:tcPr>
          <w:p>
            <w:pPr>
              <w:spacing w:line="240" w:lineRule="auto"/>
              <w:ind w:firstLine="0" w:firstLineChars="0"/>
              <w:jc w:val="center"/>
              <w:rPr>
                <w:rFonts w:cs="Times New Roman"/>
                <w:color w:val="auto"/>
                <w:sz w:val="24"/>
                <w:szCs w:val="24"/>
              </w:rPr>
            </w:pPr>
            <w:r>
              <w:rPr>
                <w:rFonts w:cs="Times New Roman"/>
                <w:color w:val="auto"/>
                <w:sz w:val="24"/>
                <w:szCs w:val="24"/>
              </w:rPr>
              <w:t>农垦绥化管理局、双岔河镇、阁山镇、绥棱镇、绥中乡、克音河乡、靠山乡、后头乡</w:t>
            </w:r>
          </w:p>
        </w:tc>
      </w:tr>
    </w:tbl>
    <w:p>
      <w:pPr>
        <w:pStyle w:val="3"/>
        <w:ind w:firstLine="0" w:firstLineChars="0"/>
        <w:rPr>
          <w:rFonts w:ascii="Times New Roman" w:hAnsi="Times New Roman" w:eastAsia="仿宋" w:cs="Times New Roman"/>
          <w:color w:val="auto"/>
        </w:rPr>
      </w:pPr>
      <w:bookmarkStart w:id="42" w:name="_Toc15251"/>
      <w:r>
        <w:rPr>
          <w:rFonts w:hint="eastAsia" w:ascii="Times New Roman" w:hAnsi="Times New Roman" w:eastAsia="仿宋" w:cs="Times New Roman"/>
          <w:color w:val="auto"/>
        </w:rPr>
        <w:t>6</w:t>
      </w:r>
      <w:r>
        <w:rPr>
          <w:rFonts w:ascii="Times New Roman" w:hAnsi="Times New Roman" w:eastAsia="仿宋" w:cs="Times New Roman"/>
          <w:color w:val="auto"/>
        </w:rPr>
        <w:t>.1 努敏河上游</w:t>
      </w:r>
      <w:r>
        <w:rPr>
          <w:rFonts w:hint="eastAsia" w:ascii="Times New Roman" w:hAnsi="Times New Roman" w:eastAsia="仿宋" w:cs="Times New Roman"/>
          <w:color w:val="auto"/>
        </w:rPr>
        <w:t>水源涵养</w:t>
      </w:r>
      <w:r>
        <w:rPr>
          <w:rFonts w:hint="eastAsia" w:ascii="Times New Roman" w:hAnsi="Times New Roman" w:eastAsia="仿宋" w:cs="Times New Roman"/>
          <w:color w:val="auto"/>
          <w:lang w:val="en-US" w:eastAsia="zh-CN"/>
        </w:rPr>
        <w:t>和土壤保持</w:t>
      </w:r>
      <w:r>
        <w:rPr>
          <w:rFonts w:ascii="Times New Roman" w:hAnsi="Times New Roman" w:eastAsia="仿宋" w:cs="Times New Roman"/>
          <w:color w:val="auto"/>
        </w:rPr>
        <w:t>生态保护修复区</w:t>
      </w:r>
      <w:bookmarkEnd w:id="42"/>
    </w:p>
    <w:p>
      <w:pPr>
        <w:ind w:firstLine="560"/>
        <w:rPr>
          <w:rFonts w:cs="Times New Roman"/>
          <w:color w:val="auto"/>
          <w:szCs w:val="22"/>
        </w:rPr>
      </w:pPr>
      <w:r>
        <w:rPr>
          <w:rFonts w:cs="Times New Roman"/>
          <w:color w:val="auto"/>
          <w:szCs w:val="22"/>
        </w:rPr>
        <w:t>1、区域范围</w:t>
      </w:r>
    </w:p>
    <w:p>
      <w:pPr>
        <w:ind w:firstLine="560"/>
        <w:rPr>
          <w:rFonts w:hint="default" w:eastAsia="仿宋" w:cs="Times New Roman"/>
          <w:color w:val="auto"/>
          <w:szCs w:val="22"/>
          <w:lang w:val="en-US" w:eastAsia="zh-CN"/>
        </w:rPr>
      </w:pPr>
      <w:r>
        <w:rPr>
          <w:rFonts w:cs="Times New Roman"/>
          <w:color w:val="auto"/>
          <w:szCs w:val="22"/>
        </w:rPr>
        <w:t>区域范围包括绥棱林业局、通北林业局、沾河林业局、四海店镇</w:t>
      </w:r>
      <w:r>
        <w:rPr>
          <w:rFonts w:hint="eastAsia" w:cs="Times New Roman"/>
          <w:color w:val="auto"/>
          <w:szCs w:val="22"/>
        </w:rPr>
        <w:t>和</w:t>
      </w:r>
      <w:r>
        <w:rPr>
          <w:rFonts w:cs="Times New Roman"/>
          <w:color w:val="auto"/>
          <w:szCs w:val="22"/>
        </w:rPr>
        <w:t>农垦绥化管理局，整体上位于绥棱县的东北部区域，北接逊克县，西接北安市和海伦市，东接伊春市和庆安县，面积</w:t>
      </w:r>
      <w:r>
        <w:rPr>
          <w:rFonts w:hint="eastAsia" w:cs="Times New Roman"/>
          <w:color w:val="auto"/>
          <w:szCs w:val="22"/>
        </w:rPr>
        <w:t>2520.63</w:t>
      </w:r>
      <w:r>
        <w:rPr>
          <w:rFonts w:cs="Times New Roman"/>
          <w:color w:val="auto"/>
          <w:szCs w:val="22"/>
        </w:rPr>
        <w:t>平方公里，占县域面积的</w:t>
      </w:r>
      <w:r>
        <w:rPr>
          <w:rFonts w:hint="eastAsia" w:cs="Times New Roman"/>
          <w:color w:val="auto"/>
          <w:szCs w:val="22"/>
        </w:rPr>
        <w:t>58.5</w:t>
      </w:r>
      <w:r>
        <w:rPr>
          <w:rFonts w:cs="Times New Roman"/>
          <w:color w:val="auto"/>
          <w:szCs w:val="22"/>
        </w:rPr>
        <w:t>%。</w:t>
      </w:r>
      <w:r>
        <w:rPr>
          <w:rFonts w:hint="eastAsia" w:cs="Times New Roman"/>
          <w:color w:val="auto"/>
          <w:szCs w:val="22"/>
          <w:lang w:val="en-US" w:eastAsia="zh-CN"/>
        </w:rPr>
        <w:t>根据绥棱县国土空间规划，本区域属于生态保育区，以自然恢复为主，通过封山育林、控制外源污染，恢复自然面貌，加强生态水体调控等方式，提升水源涵养、水土保持、多样性保护和森林固碳等生态功能。</w:t>
      </w:r>
    </w:p>
    <w:p>
      <w:pPr>
        <w:ind w:firstLine="560"/>
        <w:rPr>
          <w:rFonts w:cs="Times New Roman"/>
          <w:color w:val="auto"/>
          <w:szCs w:val="22"/>
        </w:rPr>
      </w:pPr>
      <w:r>
        <w:rPr>
          <w:rFonts w:cs="Times New Roman"/>
          <w:color w:val="auto"/>
          <w:szCs w:val="22"/>
        </w:rPr>
        <w:t>2、自然地理和生态状况</w:t>
      </w:r>
    </w:p>
    <w:p>
      <w:pPr>
        <w:ind w:firstLine="560"/>
        <w:rPr>
          <w:rFonts w:cs="Times New Roman"/>
          <w:color w:val="auto"/>
          <w:szCs w:val="22"/>
        </w:rPr>
      </w:pPr>
      <w:r>
        <w:rPr>
          <w:rFonts w:cs="Times New Roman"/>
          <w:color w:val="auto"/>
          <w:szCs w:val="22"/>
        </w:rPr>
        <w:t>本区地貌类型以山地为主，地势起伏较大。该区地带性植被类型主要为</w:t>
      </w:r>
      <w:r>
        <w:rPr>
          <w:rFonts w:cs="Times New Roman"/>
          <w:color w:val="auto"/>
        </w:rPr>
        <w:t>针阔混交林和阔叶混交林</w:t>
      </w:r>
      <w:r>
        <w:rPr>
          <w:rFonts w:cs="Times New Roman"/>
          <w:color w:val="auto"/>
          <w:szCs w:val="22"/>
        </w:rPr>
        <w:t>，植被类型以红松、桦树、榆树、柞树等为主。</w:t>
      </w:r>
      <w:r>
        <w:rPr>
          <w:rFonts w:cs="Times New Roman"/>
          <w:color w:val="auto"/>
        </w:rPr>
        <w:t>该区应积极扩大公益林和水土涵养林面积，强化</w:t>
      </w:r>
      <w:r>
        <w:rPr>
          <w:rFonts w:hint="eastAsia" w:cs="Times New Roman"/>
          <w:color w:val="auto"/>
        </w:rPr>
        <w:t>水源涵养和</w:t>
      </w:r>
      <w:r>
        <w:rPr>
          <w:rFonts w:cs="Times New Roman"/>
          <w:color w:val="auto"/>
        </w:rPr>
        <w:t>水土保持功能。本区范围内森林资源丰富，绥棱努敏河省级自然保护区、黑龙江绥化双岔河省级自然保护区、黑龙江大青观国家森林公园-大青山片区等位于该区域内。另外，该区域范围内分布有矿产资源，如金属矿、建筑用白云岩、玄武岩、黄岗岩等</w:t>
      </w:r>
      <w:r>
        <w:rPr>
          <w:rFonts w:cs="Times New Roman"/>
          <w:color w:val="auto"/>
          <w:szCs w:val="22"/>
        </w:rPr>
        <w:t>。</w:t>
      </w:r>
    </w:p>
    <w:p>
      <w:pPr>
        <w:ind w:firstLine="560"/>
        <w:rPr>
          <w:rFonts w:cs="Times New Roman"/>
          <w:color w:val="auto"/>
          <w:szCs w:val="22"/>
        </w:rPr>
      </w:pPr>
      <w:r>
        <w:rPr>
          <w:rFonts w:cs="Times New Roman"/>
          <w:color w:val="auto"/>
          <w:szCs w:val="22"/>
        </w:rPr>
        <w:t>区域范围内存在较多生态问题，主要包括森林质量有待提升、矿山环境破坏等问题。</w:t>
      </w:r>
    </w:p>
    <w:p>
      <w:pPr>
        <w:numPr>
          <w:ilvl w:val="0"/>
          <w:numId w:val="5"/>
        </w:numPr>
        <w:ind w:firstLine="560"/>
        <w:rPr>
          <w:rFonts w:cs="Times New Roman"/>
          <w:color w:val="auto"/>
          <w:szCs w:val="22"/>
        </w:rPr>
      </w:pPr>
      <w:r>
        <w:rPr>
          <w:rFonts w:cs="Times New Roman"/>
          <w:color w:val="auto"/>
          <w:szCs w:val="22"/>
        </w:rPr>
        <w:t>森林质量有待提升。</w:t>
      </w:r>
      <w:r>
        <w:rPr>
          <w:rFonts w:cs="Times New Roman"/>
          <w:color w:val="auto"/>
        </w:rPr>
        <w:t>区域内森林覆盖率较高，区域内原始森林植被逐渐被天然次生林、人工林所替代，纯林面积大、占比高，混交林少，林分结构简单，生态系统稳定性差。该区应加强森林抚育及加强生物多样性保护，强化自然保护地监督管理，提高规范化建设水平。实施林分抚育改造工程，坚持封山育林、人工造林并举，宜封则封、宜造则造，宜林则林、宜灌则灌、宜草则草，大力培育混交林，推进退化林修复，优化森林组成、结构和功能。</w:t>
      </w:r>
    </w:p>
    <w:p>
      <w:pPr>
        <w:ind w:firstLine="560"/>
        <w:rPr>
          <w:rFonts w:cs="Times New Roman"/>
          <w:color w:val="auto"/>
          <w:szCs w:val="22"/>
        </w:rPr>
      </w:pPr>
      <w:r>
        <w:rPr>
          <w:rFonts w:cs="Times New Roman"/>
          <w:color w:val="auto"/>
        </w:rPr>
        <w:t>（2）矿山环境破坏。该区域内的矿山有金属矿、建筑用岩等。由于不同的矿产资源开采，出现了一些不同的地质环境问题，如：矿山的挖采，导致地形地貌和土地资源破坏严重，地下开采挖损及地下水涌水疏干造成含水层破坏，影响主要表现为民用井水位下降、疏干塌陷发生，威胁下游村庄、农田、生态、水质、土壤安全，地表破坏影响区域自然风貌。此外，矿山开采对地形地貌和植被的破坏，加剧了水土流失发生。</w:t>
      </w:r>
    </w:p>
    <w:p>
      <w:pPr>
        <w:ind w:firstLine="560"/>
        <w:rPr>
          <w:rFonts w:cs="Times New Roman"/>
          <w:color w:val="auto"/>
          <w:szCs w:val="22"/>
        </w:rPr>
      </w:pPr>
      <w:r>
        <w:rPr>
          <w:rFonts w:cs="Times New Roman"/>
          <w:color w:val="auto"/>
          <w:szCs w:val="22"/>
        </w:rPr>
        <w:t>3、生态修复主攻方向</w:t>
      </w:r>
    </w:p>
    <w:p>
      <w:pPr>
        <w:ind w:firstLine="560"/>
        <w:rPr>
          <w:rFonts w:cs="Times New Roman"/>
          <w:color w:val="auto"/>
        </w:rPr>
      </w:pPr>
      <w:r>
        <w:rPr>
          <w:rFonts w:cs="Times New Roman"/>
          <w:color w:val="auto"/>
        </w:rPr>
        <w:t>在生态建设与保护方面，应加强区域自然保护区和森林公园的建设，保护生物多样性，提高森林水源涵养能力，预防水土流失，发展生态产品，适度开展生态旅游。限制该区域内矿产资源的开发，大力加强对矿山地质环境的治理，恢复矿山地表植被和地表景观。加大野生动物保护宣传力度，开展野生动物保护宣传工作。以生物多样性保护、水源涵养、矿山生态修复为重点，对区域生态环境进行综合整治、修复与保护。</w:t>
      </w:r>
    </w:p>
    <w:p>
      <w:pPr>
        <w:pStyle w:val="3"/>
        <w:ind w:firstLine="0" w:firstLineChars="0"/>
        <w:rPr>
          <w:rFonts w:ascii="Times New Roman" w:hAnsi="Times New Roman" w:eastAsia="仿宋" w:cs="Times New Roman"/>
          <w:color w:val="auto"/>
        </w:rPr>
      </w:pPr>
      <w:bookmarkStart w:id="43" w:name="_Toc12720"/>
      <w:r>
        <w:rPr>
          <w:rFonts w:hint="eastAsia" w:ascii="Times New Roman" w:hAnsi="Times New Roman" w:eastAsia="仿宋" w:cs="Times New Roman"/>
          <w:color w:val="auto"/>
        </w:rPr>
        <w:t>6</w:t>
      </w:r>
      <w:r>
        <w:rPr>
          <w:rFonts w:ascii="Times New Roman" w:hAnsi="Times New Roman" w:eastAsia="仿宋" w:cs="Times New Roman"/>
          <w:color w:val="auto"/>
        </w:rPr>
        <w:t>.2 努敏河—墨尔根河</w:t>
      </w:r>
      <w:r>
        <w:rPr>
          <w:rFonts w:hint="eastAsia" w:ascii="Times New Roman" w:hAnsi="Times New Roman" w:eastAsia="仿宋" w:cs="Times New Roman"/>
          <w:color w:val="auto"/>
        </w:rPr>
        <w:t>水源涵养</w:t>
      </w:r>
      <w:r>
        <w:rPr>
          <w:rFonts w:ascii="Times New Roman" w:hAnsi="Times New Roman" w:eastAsia="仿宋" w:cs="Times New Roman"/>
          <w:color w:val="auto"/>
        </w:rPr>
        <w:t>和土壤保持生态保护修复区</w:t>
      </w:r>
      <w:bookmarkEnd w:id="43"/>
    </w:p>
    <w:p>
      <w:pPr>
        <w:ind w:firstLine="560"/>
        <w:rPr>
          <w:rFonts w:cs="Times New Roman"/>
          <w:color w:val="auto"/>
          <w:szCs w:val="22"/>
        </w:rPr>
      </w:pPr>
      <w:r>
        <w:rPr>
          <w:rFonts w:cs="Times New Roman"/>
          <w:color w:val="auto"/>
          <w:szCs w:val="22"/>
        </w:rPr>
        <w:t>1、区域范围</w:t>
      </w:r>
    </w:p>
    <w:p>
      <w:pPr>
        <w:ind w:firstLine="560"/>
        <w:rPr>
          <w:rFonts w:cs="Times New Roman"/>
          <w:color w:val="auto"/>
          <w:szCs w:val="22"/>
        </w:rPr>
      </w:pPr>
      <w:r>
        <w:rPr>
          <w:rFonts w:cs="Times New Roman"/>
          <w:color w:val="auto"/>
          <w:szCs w:val="22"/>
        </w:rPr>
        <w:t>区域范围包括农垦绥化管理局、长山镇、上集镇和泥尔河乡，整体上位于绥棱县的南部，努敏河南岸，墨尔根河北岸，东接庆安县，南接北林区，面积818.23平方公里，占县域面积的18.97%。</w:t>
      </w:r>
    </w:p>
    <w:p>
      <w:pPr>
        <w:ind w:firstLine="560"/>
        <w:rPr>
          <w:rFonts w:cs="Times New Roman"/>
          <w:color w:val="auto"/>
          <w:szCs w:val="22"/>
        </w:rPr>
      </w:pPr>
      <w:r>
        <w:rPr>
          <w:rFonts w:cs="Times New Roman"/>
          <w:color w:val="auto"/>
          <w:szCs w:val="22"/>
        </w:rPr>
        <w:t>2、自然地理和生态状况</w:t>
      </w:r>
    </w:p>
    <w:p>
      <w:pPr>
        <w:ind w:firstLine="560"/>
        <w:rPr>
          <w:rFonts w:cs="Times New Roman"/>
          <w:color w:val="auto"/>
          <w:szCs w:val="22"/>
        </w:rPr>
      </w:pPr>
      <w:r>
        <w:rPr>
          <w:rFonts w:cs="Times New Roman"/>
          <w:color w:val="auto"/>
          <w:szCs w:val="22"/>
        </w:rPr>
        <w:t>本区地貌类型为缓倾斜台地和河漫滩，地势起伏较缓。该区地带性植被类型主要为</w:t>
      </w:r>
      <w:r>
        <w:rPr>
          <w:rFonts w:cs="Times New Roman"/>
          <w:color w:val="auto"/>
        </w:rPr>
        <w:t>针阔混交林和阔叶混交林</w:t>
      </w:r>
      <w:r>
        <w:rPr>
          <w:rFonts w:cs="Times New Roman"/>
          <w:color w:val="auto"/>
          <w:szCs w:val="22"/>
        </w:rPr>
        <w:t>，植被类型以桦树、杨树、榆树、柞树等为主。区域应积极优化林被结构，严格控制水土流失，强化水土保持和水源涵养功能。本区范围内东北部为三吉台林场，林地在此成片分布。另外，该区域范围内分布有矿产资源，如砖瓦用粘土、建筑用岩等。</w:t>
      </w:r>
    </w:p>
    <w:p>
      <w:pPr>
        <w:ind w:firstLine="560"/>
        <w:rPr>
          <w:rFonts w:cs="Times New Roman"/>
          <w:color w:val="auto"/>
          <w:szCs w:val="22"/>
        </w:rPr>
      </w:pPr>
      <w:r>
        <w:rPr>
          <w:rFonts w:cs="Times New Roman"/>
          <w:color w:val="auto"/>
          <w:szCs w:val="22"/>
        </w:rPr>
        <w:t>区域范围内存在较多生态问题，主要包括</w:t>
      </w:r>
      <w:r>
        <w:rPr>
          <w:rFonts w:hint="eastAsia" w:cs="Times New Roman"/>
          <w:color w:val="auto"/>
          <w:szCs w:val="22"/>
          <w:lang w:val="en-US" w:eastAsia="zh-CN"/>
        </w:rPr>
        <w:t>黑土地质量退化、</w:t>
      </w:r>
      <w:r>
        <w:rPr>
          <w:rFonts w:cs="Times New Roman"/>
          <w:color w:val="auto"/>
          <w:szCs w:val="22"/>
        </w:rPr>
        <w:t>水土流失较严重、森林质量有待提升、矿山环境破坏等问题。</w:t>
      </w:r>
    </w:p>
    <w:p>
      <w:pPr>
        <w:numPr>
          <w:ilvl w:val="0"/>
          <w:numId w:val="6"/>
        </w:numPr>
        <w:ind w:firstLine="560"/>
        <w:rPr>
          <w:rFonts w:hint="eastAsia" w:cs="Times New Roman"/>
          <w:color w:val="auto"/>
          <w:szCs w:val="22"/>
          <w:lang w:val="en-US" w:eastAsia="zh-CN"/>
        </w:rPr>
      </w:pPr>
      <w:r>
        <w:rPr>
          <w:rFonts w:hint="eastAsia" w:cs="Times New Roman"/>
          <w:color w:val="auto"/>
          <w:szCs w:val="22"/>
          <w:lang w:val="en-US" w:eastAsia="zh-CN"/>
        </w:rPr>
        <w:t>黑土地质量退化。</w:t>
      </w:r>
      <w:r>
        <w:rPr>
          <w:rFonts w:hint="eastAsia" w:cs="Times New Roman"/>
          <w:color w:val="auto"/>
          <w:szCs w:val="22"/>
        </w:rPr>
        <w:t>近年来施用有机肥的水平明显下降，主要依靠使用化肥，土壤板结情况严重，地力明显下降。</w:t>
      </w:r>
      <w:r>
        <w:rPr>
          <w:rFonts w:hint="eastAsia" w:cs="Times New Roman"/>
          <w:color w:val="auto"/>
          <w:szCs w:val="22"/>
          <w:lang w:val="en-US" w:eastAsia="zh-CN"/>
        </w:rPr>
        <w:t>区域存在种养殖业管理模式粗放，化肥、农药、地膜使用不合理，畜禽粪便排放不</w:t>
      </w:r>
    </w:p>
    <w:p>
      <w:pPr>
        <w:numPr>
          <w:ilvl w:val="0"/>
          <w:numId w:val="0"/>
        </w:numPr>
        <w:rPr>
          <w:rFonts w:hint="eastAsia" w:cs="Times New Roman"/>
          <w:color w:val="auto"/>
          <w:szCs w:val="22"/>
          <w:lang w:val="en-US" w:eastAsia="zh-CN"/>
        </w:rPr>
      </w:pPr>
      <w:r>
        <w:rPr>
          <w:rFonts w:hint="eastAsia" w:cs="Times New Roman"/>
          <w:color w:val="auto"/>
          <w:szCs w:val="22"/>
          <w:lang w:val="en-US" w:eastAsia="zh-CN"/>
        </w:rPr>
        <w:t>规范等现象。</w:t>
      </w:r>
    </w:p>
    <w:p>
      <w:pPr>
        <w:numPr>
          <w:ilvl w:val="0"/>
          <w:numId w:val="6"/>
        </w:numPr>
        <w:ind w:firstLine="560"/>
        <w:rPr>
          <w:rFonts w:cs="Times New Roman"/>
          <w:color w:val="auto"/>
          <w:szCs w:val="22"/>
        </w:rPr>
      </w:pPr>
      <w:r>
        <w:rPr>
          <w:rFonts w:cs="Times New Roman"/>
          <w:color w:val="auto"/>
          <w:szCs w:val="22"/>
        </w:rPr>
        <w:t>水土流失较严重。该区域中部和西南部地形地貌为波状台地，地势起伏不大，此区域多以农田种植为主，而区域内水系分布广泛，水利基础设施滞后，易发生洪涝灾害，造成水土流失；</w:t>
      </w:r>
      <w:r>
        <w:rPr>
          <w:rFonts w:cs="Times New Roman"/>
          <w:color w:val="auto"/>
        </w:rPr>
        <w:t>矿山开采对原地形地貌和生态环境破坏严重，加剧了水土流失的发生，污染及破坏了矿山周围的环境。</w:t>
      </w:r>
    </w:p>
    <w:p>
      <w:pPr>
        <w:ind w:firstLine="560"/>
        <w:rPr>
          <w:rFonts w:cs="Times New Roman"/>
          <w:color w:val="auto"/>
          <w:szCs w:val="22"/>
        </w:rPr>
      </w:pPr>
      <w:r>
        <w:rPr>
          <w:rFonts w:cs="Times New Roman"/>
          <w:color w:val="auto"/>
          <w:szCs w:val="22"/>
        </w:rPr>
        <w:t>（</w:t>
      </w:r>
      <w:r>
        <w:rPr>
          <w:rFonts w:hint="eastAsia" w:cs="Times New Roman"/>
          <w:color w:val="auto"/>
          <w:szCs w:val="22"/>
          <w:lang w:val="en-US" w:eastAsia="zh-CN"/>
        </w:rPr>
        <w:t>3</w:t>
      </w:r>
      <w:r>
        <w:rPr>
          <w:rFonts w:cs="Times New Roman"/>
          <w:color w:val="auto"/>
          <w:szCs w:val="22"/>
        </w:rPr>
        <w:t>）森林质量有待提升。该区域东北部为林地成片分布，植被覆盖率较高，区域混交林较多，但幼、中龄林占比较大，林分结构简单，种群密度小，生物多样性低，易发生病虫害或风倒。该区域应加强生物多样性保护，实施幼、中龄林抚育改造，</w:t>
      </w:r>
      <w:r>
        <w:rPr>
          <w:rFonts w:cs="Times New Roman"/>
          <w:color w:val="auto"/>
        </w:rPr>
        <w:t>优化森林组成、结构和功能。</w:t>
      </w:r>
    </w:p>
    <w:p>
      <w:pPr>
        <w:ind w:firstLine="560"/>
        <w:rPr>
          <w:rFonts w:cs="Times New Roman"/>
          <w:color w:val="auto"/>
          <w:szCs w:val="22"/>
        </w:rPr>
      </w:pPr>
      <w:r>
        <w:rPr>
          <w:rFonts w:cs="Times New Roman"/>
          <w:color w:val="auto"/>
          <w:szCs w:val="22"/>
        </w:rPr>
        <w:t>（</w:t>
      </w:r>
      <w:r>
        <w:rPr>
          <w:rFonts w:hint="eastAsia" w:cs="Times New Roman"/>
          <w:color w:val="auto"/>
          <w:szCs w:val="22"/>
          <w:lang w:val="en-US" w:eastAsia="zh-CN"/>
        </w:rPr>
        <w:t>4</w:t>
      </w:r>
      <w:r>
        <w:rPr>
          <w:rFonts w:cs="Times New Roman"/>
          <w:color w:val="auto"/>
          <w:szCs w:val="22"/>
        </w:rPr>
        <w:t>）矿山开采破坏环境。首先由于矿山的开采，造成矿山地形地貌景观破坏、植被损毁等，其次为废石（土、渣）堆场及尾矿库等对土地资源的占用，地表扰动活动致使水土流失。</w:t>
      </w:r>
    </w:p>
    <w:p>
      <w:pPr>
        <w:ind w:firstLine="560"/>
        <w:rPr>
          <w:rFonts w:cs="Times New Roman"/>
          <w:color w:val="auto"/>
          <w:szCs w:val="22"/>
        </w:rPr>
      </w:pPr>
      <w:r>
        <w:rPr>
          <w:rFonts w:cs="Times New Roman"/>
          <w:color w:val="auto"/>
          <w:szCs w:val="22"/>
        </w:rPr>
        <w:t>3、生态修复主攻方向</w:t>
      </w:r>
    </w:p>
    <w:p>
      <w:pPr>
        <w:ind w:firstLine="560"/>
        <w:rPr>
          <w:rFonts w:cs="Times New Roman"/>
          <w:color w:val="auto"/>
          <w:szCs w:val="22"/>
        </w:rPr>
      </w:pPr>
      <w:r>
        <w:rPr>
          <w:rFonts w:hint="eastAsia" w:cs="Times New Roman"/>
          <w:color w:val="auto"/>
          <w:szCs w:val="22"/>
        </w:rPr>
        <w:t>遏制黑土地水土流失、风蚀和耕地质量下降</w:t>
      </w:r>
      <w:r>
        <w:rPr>
          <w:rFonts w:hint="eastAsia" w:cs="Times New Roman"/>
          <w:color w:val="auto"/>
          <w:szCs w:val="22"/>
          <w:lang w:eastAsia="zh-CN"/>
        </w:rPr>
        <w:t>，</w:t>
      </w:r>
      <w:r>
        <w:rPr>
          <w:rFonts w:hint="eastAsia" w:cs="Times New Roman"/>
          <w:color w:val="auto"/>
          <w:szCs w:val="22"/>
          <w:lang w:val="en-US" w:eastAsia="zh-CN"/>
        </w:rPr>
        <w:t>建设高标准农田，提高黑土地地力</w:t>
      </w:r>
      <w:r>
        <w:rPr>
          <w:rFonts w:hint="eastAsia" w:cs="Times New Roman"/>
          <w:color w:val="auto"/>
          <w:szCs w:val="22"/>
        </w:rPr>
        <w:t>。</w:t>
      </w:r>
      <w:r>
        <w:rPr>
          <w:rFonts w:cs="Times New Roman"/>
          <w:color w:val="auto"/>
          <w:szCs w:val="22"/>
        </w:rPr>
        <w:t>提高区域植被覆盖率，保护生物多样性，控制水土流失。进一步提高该区域内森林质量，持续开展幼龄林、中龄林抚育改造措施，有效改善林分结构，提升森林质量，提升水土保持能力。</w:t>
      </w:r>
    </w:p>
    <w:p>
      <w:pPr>
        <w:pStyle w:val="3"/>
        <w:ind w:firstLine="0" w:firstLineChars="0"/>
        <w:rPr>
          <w:rFonts w:ascii="Times New Roman" w:hAnsi="Times New Roman" w:eastAsia="仿宋" w:cs="Times New Roman"/>
          <w:color w:val="auto"/>
        </w:rPr>
      </w:pPr>
      <w:bookmarkStart w:id="44" w:name="_Toc13106"/>
      <w:r>
        <w:rPr>
          <w:rFonts w:hint="eastAsia" w:ascii="Times New Roman" w:hAnsi="Times New Roman" w:eastAsia="仿宋" w:cs="Times New Roman"/>
          <w:color w:val="auto"/>
        </w:rPr>
        <w:t>6</w:t>
      </w:r>
      <w:r>
        <w:rPr>
          <w:rFonts w:ascii="Times New Roman" w:hAnsi="Times New Roman" w:eastAsia="仿宋" w:cs="Times New Roman"/>
          <w:color w:val="auto"/>
        </w:rPr>
        <w:t>.3 努敏河—克音河土壤保持生态保护修复区</w:t>
      </w:r>
      <w:bookmarkEnd w:id="44"/>
    </w:p>
    <w:p>
      <w:pPr>
        <w:ind w:firstLine="560"/>
        <w:rPr>
          <w:rFonts w:cs="Times New Roman"/>
          <w:color w:val="auto"/>
          <w:szCs w:val="22"/>
        </w:rPr>
      </w:pPr>
      <w:r>
        <w:rPr>
          <w:rFonts w:cs="Times New Roman"/>
          <w:color w:val="auto"/>
          <w:szCs w:val="22"/>
        </w:rPr>
        <w:t>1、区域范围</w:t>
      </w:r>
    </w:p>
    <w:p>
      <w:pPr>
        <w:ind w:firstLine="560"/>
        <w:rPr>
          <w:rFonts w:cs="Times New Roman"/>
          <w:color w:val="auto"/>
          <w:szCs w:val="22"/>
        </w:rPr>
      </w:pPr>
      <w:r>
        <w:rPr>
          <w:rFonts w:cs="Times New Roman"/>
          <w:color w:val="auto"/>
          <w:szCs w:val="22"/>
        </w:rPr>
        <w:t>区域范围包括农垦绥化管理局、双岔河镇、阁山镇、绥棱镇、绥中乡、克音河乡、靠山乡和后头乡，整体上位于绥棱县的西北部区域，北接海伦市，南接北林区，克音河南岸，努敏河北岸，面积</w:t>
      </w:r>
      <w:r>
        <w:rPr>
          <w:rFonts w:hint="eastAsia" w:cs="Times New Roman"/>
          <w:color w:val="auto"/>
          <w:szCs w:val="22"/>
        </w:rPr>
        <w:t>973.35</w:t>
      </w:r>
      <w:r>
        <w:rPr>
          <w:rFonts w:cs="Times New Roman"/>
          <w:color w:val="auto"/>
          <w:szCs w:val="22"/>
        </w:rPr>
        <w:t>平方公里，占县域面积的</w:t>
      </w:r>
      <w:r>
        <w:rPr>
          <w:rFonts w:hint="eastAsia" w:cs="Times New Roman"/>
          <w:color w:val="auto"/>
          <w:szCs w:val="22"/>
        </w:rPr>
        <w:t>22.53</w:t>
      </w:r>
      <w:r>
        <w:rPr>
          <w:rFonts w:cs="Times New Roman"/>
          <w:color w:val="auto"/>
          <w:szCs w:val="22"/>
        </w:rPr>
        <w:t>%。</w:t>
      </w:r>
    </w:p>
    <w:p>
      <w:pPr>
        <w:ind w:firstLine="560"/>
        <w:rPr>
          <w:rFonts w:cs="Times New Roman"/>
          <w:color w:val="auto"/>
          <w:szCs w:val="22"/>
        </w:rPr>
      </w:pPr>
      <w:r>
        <w:rPr>
          <w:rFonts w:cs="Times New Roman"/>
          <w:color w:val="auto"/>
          <w:szCs w:val="22"/>
        </w:rPr>
        <w:t>2、自然地理和生态状况</w:t>
      </w:r>
    </w:p>
    <w:p>
      <w:pPr>
        <w:ind w:firstLine="560"/>
        <w:rPr>
          <w:rFonts w:cs="Times New Roman"/>
          <w:color w:val="auto"/>
          <w:szCs w:val="22"/>
        </w:rPr>
      </w:pPr>
      <w:r>
        <w:rPr>
          <w:rFonts w:cs="Times New Roman"/>
          <w:color w:val="auto"/>
          <w:szCs w:val="22"/>
        </w:rPr>
        <w:t>本区地貌类型以平原为主，地势平缓。该区主要以农田生态系统为主，种植作物以水稻、玉米、大豆为主。</w:t>
      </w:r>
      <w:r>
        <w:rPr>
          <w:rFonts w:cs="Times New Roman"/>
          <w:color w:val="auto"/>
        </w:rPr>
        <w:t>另外，该区域范围内分布有矿产资源，主要为建筑用砖瓦粘土</w:t>
      </w:r>
      <w:r>
        <w:rPr>
          <w:rFonts w:cs="Times New Roman"/>
          <w:color w:val="auto"/>
          <w:szCs w:val="22"/>
        </w:rPr>
        <w:t>。</w:t>
      </w:r>
    </w:p>
    <w:p>
      <w:pPr>
        <w:ind w:firstLine="560"/>
        <w:rPr>
          <w:rFonts w:cs="Times New Roman"/>
          <w:color w:val="auto"/>
          <w:szCs w:val="22"/>
        </w:rPr>
      </w:pPr>
      <w:r>
        <w:rPr>
          <w:rFonts w:cs="Times New Roman"/>
          <w:color w:val="auto"/>
          <w:szCs w:val="22"/>
        </w:rPr>
        <w:t>区域范围内存在较多生态问题，主要包括</w:t>
      </w:r>
      <w:r>
        <w:rPr>
          <w:rFonts w:hint="eastAsia" w:cs="Times New Roman"/>
          <w:color w:val="auto"/>
          <w:szCs w:val="22"/>
          <w:lang w:val="en-US" w:eastAsia="zh-CN"/>
        </w:rPr>
        <w:t>黑土地质量退化、</w:t>
      </w:r>
      <w:r>
        <w:rPr>
          <w:rFonts w:cs="Times New Roman"/>
          <w:color w:val="auto"/>
          <w:szCs w:val="22"/>
        </w:rPr>
        <w:t>水土流失严重、矿山环境破坏、城乡环境等问题。</w:t>
      </w:r>
    </w:p>
    <w:p>
      <w:pPr>
        <w:numPr>
          <w:ilvl w:val="0"/>
          <w:numId w:val="7"/>
        </w:numPr>
        <w:ind w:firstLine="560"/>
        <w:rPr>
          <w:rFonts w:hint="eastAsia" w:cs="Times New Roman"/>
          <w:color w:val="auto"/>
          <w:szCs w:val="22"/>
        </w:rPr>
      </w:pPr>
      <w:r>
        <w:rPr>
          <w:rFonts w:hint="eastAsia" w:cs="Times New Roman"/>
          <w:color w:val="auto"/>
          <w:szCs w:val="22"/>
          <w:lang w:val="en-US" w:eastAsia="zh-CN"/>
        </w:rPr>
        <w:t>黑土地质量退化。第一，努敏河—克音河土壤保持生态保护修复区主要分布在绥棱县西南部，该区主要分布耕地，林地零星点状分布，导致区域土壤受到风力侵蚀，同时降雨加剧了区域水土流失；第二，耕地土壤</w:t>
      </w:r>
      <w:r>
        <w:rPr>
          <w:rFonts w:hint="eastAsia" w:cs="Times New Roman"/>
          <w:color w:val="auto"/>
          <w:szCs w:val="22"/>
        </w:rPr>
        <w:t>长期高强度利用，</w:t>
      </w:r>
      <w:r>
        <w:rPr>
          <w:rFonts w:hint="eastAsia" w:cs="Times New Roman"/>
          <w:color w:val="auto"/>
          <w:szCs w:val="22"/>
          <w:lang w:val="en-US" w:eastAsia="zh-CN"/>
        </w:rPr>
        <w:t>耕作层变浅，缺少轮作，</w:t>
      </w:r>
      <w:r>
        <w:rPr>
          <w:rFonts w:hint="eastAsia" w:cs="Times New Roman"/>
          <w:color w:val="auto"/>
          <w:szCs w:val="22"/>
        </w:rPr>
        <w:t>加之耕地面积大，保护投入有限，黑土地质量退化</w:t>
      </w:r>
      <w:r>
        <w:rPr>
          <w:rFonts w:hint="eastAsia" w:cs="Times New Roman"/>
          <w:color w:val="auto"/>
          <w:szCs w:val="22"/>
          <w:lang w:val="en-US" w:eastAsia="zh-CN"/>
        </w:rPr>
        <w:t>日趋严重；第三，黑土区种植结构单一，由于常年种植一种作物，导致土壤中严重缺乏某些微量元素。同时，农户大量使用农药化肥，造成土壤环境污染，土壤理化性质出现恶化。</w:t>
      </w:r>
    </w:p>
    <w:p>
      <w:pPr>
        <w:ind w:firstLine="560"/>
        <w:rPr>
          <w:rFonts w:cs="Times New Roman"/>
          <w:color w:val="auto"/>
          <w:szCs w:val="22"/>
        </w:rPr>
      </w:pPr>
      <w:r>
        <w:rPr>
          <w:rFonts w:hint="eastAsia" w:cs="Times New Roman"/>
          <w:color w:val="auto"/>
          <w:szCs w:val="22"/>
          <w:lang w:eastAsia="zh-CN"/>
        </w:rPr>
        <w:t>（</w:t>
      </w:r>
      <w:r>
        <w:rPr>
          <w:rFonts w:hint="eastAsia" w:cs="Times New Roman"/>
          <w:color w:val="auto"/>
          <w:szCs w:val="22"/>
          <w:lang w:val="en-US" w:eastAsia="zh-CN"/>
        </w:rPr>
        <w:t>2</w:t>
      </w:r>
      <w:r>
        <w:rPr>
          <w:rFonts w:hint="eastAsia" w:cs="Times New Roman"/>
          <w:color w:val="auto"/>
          <w:szCs w:val="22"/>
          <w:lang w:eastAsia="zh-CN"/>
        </w:rPr>
        <w:t>）</w:t>
      </w:r>
      <w:r>
        <w:rPr>
          <w:rFonts w:cs="Times New Roman"/>
          <w:color w:val="auto"/>
          <w:szCs w:val="22"/>
        </w:rPr>
        <w:t>水土流失严重。该</w:t>
      </w:r>
      <w:r>
        <w:rPr>
          <w:rFonts w:hint="eastAsia" w:cs="Times New Roman"/>
          <w:color w:val="auto"/>
          <w:szCs w:val="22"/>
          <w:lang w:eastAsia="zh-CN"/>
        </w:rPr>
        <w:t>区域</w:t>
      </w:r>
      <w:r>
        <w:rPr>
          <w:rFonts w:cs="Times New Roman"/>
          <w:color w:val="auto"/>
          <w:szCs w:val="22"/>
        </w:rPr>
        <w:t>内水系分布广泛，水利基础设施滞后，易发生洪涝灾害，引发水土流失；并且随着城市和乡村建设用地和硬化地表的大幅度增加，土地涵养水源和生产能力降低或消失，水土流失严重；</w:t>
      </w:r>
      <w:r>
        <w:rPr>
          <w:rFonts w:cs="Times New Roman"/>
          <w:color w:val="auto"/>
        </w:rPr>
        <w:t>矿山开采对原地形地貌和生态环境破坏严重，加剧了水土流失的发生，污染及破坏了矿山周围的环境。</w:t>
      </w:r>
    </w:p>
    <w:p>
      <w:pPr>
        <w:ind w:firstLine="560"/>
        <w:rPr>
          <w:rFonts w:cs="Times New Roman"/>
          <w:color w:val="auto"/>
          <w:szCs w:val="22"/>
        </w:rPr>
      </w:pPr>
      <w:r>
        <w:rPr>
          <w:rFonts w:cs="Times New Roman"/>
          <w:color w:val="auto"/>
          <w:szCs w:val="22"/>
        </w:rPr>
        <w:t>（</w:t>
      </w:r>
      <w:r>
        <w:rPr>
          <w:rFonts w:hint="eastAsia" w:cs="Times New Roman"/>
          <w:color w:val="auto"/>
          <w:szCs w:val="22"/>
          <w:lang w:val="en-US" w:eastAsia="zh-CN"/>
        </w:rPr>
        <w:t>3</w:t>
      </w:r>
      <w:r>
        <w:rPr>
          <w:rFonts w:cs="Times New Roman"/>
          <w:color w:val="auto"/>
          <w:szCs w:val="22"/>
        </w:rPr>
        <w:t>）矿山开采破坏环境。由于矿山的开采，造成矿山地形地貌景观破坏、植被损毁等，其次为废石（土、渣）堆场及尾矿库等对土地资源的占用，地表扰动活动致使水土流失。</w:t>
      </w:r>
    </w:p>
    <w:p>
      <w:pPr>
        <w:ind w:firstLine="560"/>
        <w:rPr>
          <w:rFonts w:cs="Times New Roman"/>
          <w:color w:val="auto"/>
        </w:rPr>
      </w:pPr>
      <w:r>
        <w:rPr>
          <w:rFonts w:cs="Times New Roman"/>
          <w:color w:val="auto"/>
          <w:szCs w:val="22"/>
        </w:rPr>
        <w:t>（</w:t>
      </w:r>
      <w:r>
        <w:rPr>
          <w:rFonts w:hint="eastAsia" w:cs="Times New Roman"/>
          <w:color w:val="auto"/>
          <w:szCs w:val="22"/>
          <w:lang w:val="en-US" w:eastAsia="zh-CN"/>
        </w:rPr>
        <w:t>4</w:t>
      </w:r>
      <w:r>
        <w:rPr>
          <w:rFonts w:cs="Times New Roman"/>
          <w:color w:val="auto"/>
          <w:szCs w:val="22"/>
        </w:rPr>
        <w:t>）城乡环境问题。随着城镇的发展，绿化率降低，景观破碎程度加剧；乡镇基础设施不健全，污染物未经过有效治理排入环境中，影响区域生态环境；</w:t>
      </w:r>
      <w:r>
        <w:rPr>
          <w:rFonts w:cs="Times New Roman"/>
          <w:color w:val="auto"/>
        </w:rPr>
        <w:t>农业基础设施机械化程度低，防灾抗灾能力弱，农村人居环境质量有待进一步提高。</w:t>
      </w:r>
    </w:p>
    <w:p>
      <w:pPr>
        <w:ind w:firstLine="560"/>
        <w:rPr>
          <w:rFonts w:cs="Times New Roman"/>
          <w:color w:val="auto"/>
          <w:szCs w:val="22"/>
        </w:rPr>
      </w:pPr>
      <w:r>
        <w:rPr>
          <w:rFonts w:cs="Times New Roman"/>
          <w:color w:val="auto"/>
          <w:szCs w:val="22"/>
        </w:rPr>
        <w:t>3、生态修复主攻方向</w:t>
      </w:r>
    </w:p>
    <w:p>
      <w:pPr>
        <w:ind w:firstLine="560"/>
        <w:rPr>
          <w:rFonts w:hint="eastAsia" w:cs="Times New Roman"/>
          <w:color w:val="auto"/>
          <w:szCs w:val="22"/>
        </w:rPr>
      </w:pPr>
      <w:r>
        <w:rPr>
          <w:rFonts w:hint="eastAsia" w:cs="Times New Roman"/>
          <w:color w:val="auto"/>
          <w:szCs w:val="22"/>
        </w:rPr>
        <w:t>遏制黑土地水土流失、风蚀和耕地质量下降</w:t>
      </w:r>
      <w:r>
        <w:rPr>
          <w:rFonts w:hint="eastAsia" w:cs="Times New Roman"/>
          <w:color w:val="auto"/>
          <w:szCs w:val="22"/>
          <w:lang w:eastAsia="zh-CN"/>
        </w:rPr>
        <w:t>，</w:t>
      </w:r>
      <w:r>
        <w:rPr>
          <w:rFonts w:hint="eastAsia" w:cs="Times New Roman"/>
          <w:color w:val="auto"/>
          <w:szCs w:val="22"/>
          <w:lang w:val="en-US" w:eastAsia="zh-CN"/>
        </w:rPr>
        <w:t>建设高标准农田，提高黑土地地力</w:t>
      </w:r>
      <w:r>
        <w:rPr>
          <w:rFonts w:hint="eastAsia" w:cs="Times New Roman"/>
          <w:color w:val="auto"/>
          <w:szCs w:val="22"/>
        </w:rPr>
        <w:t>。</w:t>
      </w:r>
      <w:r>
        <w:rPr>
          <w:rFonts w:cs="Times New Roman"/>
          <w:color w:val="auto"/>
          <w:szCs w:val="22"/>
        </w:rPr>
        <w:t>提高区域植被覆盖率，控制水土流失。</w:t>
      </w:r>
      <w:r>
        <w:rPr>
          <w:rFonts w:hint="eastAsia" w:cs="Times New Roman"/>
          <w:color w:val="auto"/>
          <w:szCs w:val="22"/>
        </w:rPr>
        <w:t>加大历史遗</w:t>
      </w:r>
    </w:p>
    <w:p>
      <w:pPr>
        <w:ind w:left="0" w:leftChars="0" w:firstLine="0" w:firstLineChars="0"/>
        <w:rPr>
          <w:rFonts w:hint="eastAsia" w:cs="Times New Roman"/>
          <w:color w:val="auto"/>
          <w:szCs w:val="22"/>
          <w:lang w:eastAsia="zh-CN"/>
        </w:rPr>
      </w:pPr>
      <w:r>
        <w:rPr>
          <w:rFonts w:hint="eastAsia" w:cs="Times New Roman"/>
          <w:color w:val="auto"/>
          <w:szCs w:val="22"/>
        </w:rPr>
        <w:t>留废弃矿山生态环境治理修复力度</w:t>
      </w:r>
      <w:r>
        <w:rPr>
          <w:rFonts w:hint="eastAsia" w:cs="Times New Roman"/>
          <w:color w:val="auto"/>
          <w:szCs w:val="22"/>
          <w:lang w:eastAsia="zh-CN"/>
        </w:rPr>
        <w:t>，</w:t>
      </w:r>
      <w:r>
        <w:rPr>
          <w:rFonts w:hint="eastAsia" w:cs="Times New Roman"/>
          <w:color w:val="auto"/>
          <w:szCs w:val="22"/>
          <w:lang w:val="en-US" w:eastAsia="zh-CN"/>
        </w:rPr>
        <w:t>采取修复地形地貌景观、平整土地、恢复植被等措施，修复废弃矿山生态环境，降低水土流失程度。合理配置城市蓝绿空间，扩大城市生态空间规模，提升城市生态功能区比例，优化城市生态系统功能结构，逐步解决城市内涝问题。改善农村人居环境，加强农村生态基础设施建设</w:t>
      </w:r>
      <w:r>
        <w:rPr>
          <w:rFonts w:cs="Times New Roman"/>
          <w:color w:val="auto"/>
          <w:szCs w:val="22"/>
        </w:rPr>
        <w:t>。</w:t>
      </w:r>
    </w:p>
    <w:p>
      <w:pPr>
        <w:pStyle w:val="15"/>
        <w:ind w:left="0" w:leftChars="0" w:firstLine="0" w:firstLineChars="0"/>
        <w:rPr>
          <w:color w:val="auto"/>
        </w:rPr>
      </w:pPr>
    </w:p>
    <w:p>
      <w:pPr>
        <w:pStyle w:val="2"/>
        <w:ind w:firstLine="0" w:firstLineChars="0"/>
        <w:rPr>
          <w:rFonts w:hint="default" w:ascii="Times New Roman" w:hAnsi="Times New Roman" w:eastAsia="仿宋"/>
          <w:color w:val="auto"/>
        </w:rPr>
      </w:pPr>
      <w:bookmarkStart w:id="45" w:name="_Toc21391"/>
      <w:r>
        <w:rPr>
          <w:rFonts w:ascii="Times New Roman" w:hAnsi="Times New Roman" w:eastAsia="仿宋"/>
          <w:color w:val="auto"/>
        </w:rPr>
        <w:t>7</w:t>
      </w:r>
      <w:r>
        <w:rPr>
          <w:rFonts w:hint="default" w:ascii="Times New Roman" w:hAnsi="Times New Roman" w:eastAsia="仿宋"/>
          <w:color w:val="auto"/>
        </w:rPr>
        <w:t xml:space="preserve"> 规划主要任务</w:t>
      </w:r>
      <w:bookmarkEnd w:id="45"/>
    </w:p>
    <w:p>
      <w:pPr>
        <w:pStyle w:val="3"/>
        <w:ind w:firstLine="0" w:firstLineChars="0"/>
        <w:rPr>
          <w:rFonts w:ascii="Times New Roman" w:hAnsi="Times New Roman" w:eastAsia="仿宋" w:cs="Times New Roman"/>
          <w:color w:val="auto"/>
        </w:rPr>
      </w:pPr>
      <w:bookmarkStart w:id="46" w:name="_Toc21115"/>
      <w:r>
        <w:rPr>
          <w:rFonts w:hint="eastAsia" w:ascii="Times New Roman" w:hAnsi="Times New Roman" w:eastAsia="仿宋" w:cs="Times New Roman"/>
          <w:color w:val="auto"/>
        </w:rPr>
        <w:t>7</w:t>
      </w:r>
      <w:r>
        <w:rPr>
          <w:rFonts w:ascii="Times New Roman" w:hAnsi="Times New Roman" w:eastAsia="仿宋" w:cs="Times New Roman"/>
          <w:color w:val="auto"/>
        </w:rPr>
        <w:t>.1全面提升水源涵养能力，保障森林覆盖率</w:t>
      </w:r>
      <w:bookmarkEnd w:id="46"/>
    </w:p>
    <w:p>
      <w:pPr>
        <w:ind w:firstLine="560"/>
        <w:rPr>
          <w:rFonts w:cs="Times New Roman"/>
          <w:color w:val="auto"/>
        </w:rPr>
      </w:pPr>
      <w:r>
        <w:rPr>
          <w:rFonts w:cs="Times New Roman"/>
          <w:color w:val="auto"/>
        </w:rPr>
        <w:t>（1）保障森林覆盖率</w:t>
      </w:r>
    </w:p>
    <w:p>
      <w:pPr>
        <w:ind w:firstLine="560"/>
        <w:rPr>
          <w:rFonts w:cs="Times New Roman"/>
          <w:color w:val="auto"/>
        </w:rPr>
      </w:pPr>
      <w:r>
        <w:rPr>
          <w:rFonts w:cs="Times New Roman"/>
          <w:color w:val="auto"/>
        </w:rPr>
        <w:t>通过对现有未成林、采伐迹地、宜林荒山荒地等进行人工造林和林地生态修复，增加森林覆盖率。规划期内，根据采伐限额，对现有未成林地、采伐迹地、宜林地进行人工造林，对未成林造林地采取恰当的抚育措施，因地制宜、科学规划、适地适树，高标准造林，优先选择乡土阔叶树种，增加森林覆盖率。</w:t>
      </w:r>
    </w:p>
    <w:p>
      <w:pPr>
        <w:ind w:firstLine="560"/>
        <w:rPr>
          <w:rFonts w:cs="Times New Roman"/>
          <w:color w:val="auto"/>
        </w:rPr>
      </w:pPr>
      <w:r>
        <w:rPr>
          <w:rFonts w:cs="Times New Roman"/>
          <w:color w:val="auto"/>
        </w:rPr>
        <w:t>（2）提高森林质量</w:t>
      </w:r>
    </w:p>
    <w:p>
      <w:pPr>
        <w:ind w:firstLine="560"/>
        <w:rPr>
          <w:rFonts w:cs="Times New Roman"/>
          <w:color w:val="auto"/>
        </w:rPr>
      </w:pPr>
      <w:r>
        <w:rPr>
          <w:rFonts w:cs="Times New Roman"/>
          <w:color w:val="auto"/>
        </w:rPr>
        <w:t>实施幼龄林、中龄林抚育改造，促进中幼林尽快成林，增强生态系统稳定性，丰富生物多样性，提高森林质量；大力推进道路绿化建设，加强交通干线的绿化美化，对城乡主要道路进行补植增绿，提升景观效果；通过树种配置优化，加大林分改造力度，提升生态公益林质量。</w:t>
      </w:r>
    </w:p>
    <w:p>
      <w:pPr>
        <w:ind w:firstLine="560"/>
        <w:rPr>
          <w:rFonts w:cs="Times New Roman"/>
          <w:color w:val="auto"/>
        </w:rPr>
      </w:pPr>
      <w:r>
        <w:rPr>
          <w:rFonts w:cs="Times New Roman"/>
          <w:color w:val="auto"/>
        </w:rPr>
        <w:t>（3）加强林地保护</w:t>
      </w:r>
    </w:p>
    <w:p>
      <w:pPr>
        <w:ind w:firstLine="560"/>
        <w:rPr>
          <w:rFonts w:cs="Times New Roman"/>
          <w:color w:val="auto"/>
        </w:rPr>
      </w:pPr>
      <w:r>
        <w:rPr>
          <w:rFonts w:cs="Times New Roman"/>
          <w:color w:val="auto"/>
        </w:rPr>
        <w:t>切实加强全县森林生态系统的保护，强调原有森林植被和自然景观的保护，结合中幼林抚育改造，加强对人工恢复植被区域的乔木幼林和灌草稀疏区域的封育管护和人工促进天然更新，注重区域森林生态系统培育，合理安排生态公益林的抚育改造，有效促进局部区域森林植被恢复，优化生物多样性环境，提高森林质量，提升全县林地生产力。坚持封山育林、人工造林并举，宜封则封、宜造则造，宜林则林、宜灌则灌、宜草则草，大力培育混交林，优化森林组成、结构和功能，进一步提升森林涵养水源、水土保持功能。</w:t>
      </w:r>
    </w:p>
    <w:p>
      <w:pPr>
        <w:pStyle w:val="3"/>
        <w:ind w:firstLine="0" w:firstLineChars="0"/>
        <w:rPr>
          <w:rFonts w:ascii="Times New Roman" w:hAnsi="Times New Roman" w:eastAsia="仿宋" w:cs="Times New Roman"/>
          <w:color w:val="auto"/>
        </w:rPr>
      </w:pPr>
      <w:bookmarkStart w:id="47" w:name="_Toc2458"/>
      <w:r>
        <w:rPr>
          <w:rFonts w:hint="eastAsia" w:ascii="Times New Roman" w:hAnsi="Times New Roman" w:eastAsia="仿宋" w:cs="Times New Roman"/>
          <w:color w:val="auto"/>
        </w:rPr>
        <w:t>7</w:t>
      </w:r>
      <w:r>
        <w:rPr>
          <w:rFonts w:ascii="Times New Roman" w:hAnsi="Times New Roman" w:eastAsia="仿宋" w:cs="Times New Roman"/>
          <w:color w:val="auto"/>
        </w:rPr>
        <w:t>.2加大水土流失综合治理力度，提升土壤保持能力</w:t>
      </w:r>
      <w:bookmarkEnd w:id="47"/>
    </w:p>
    <w:p>
      <w:pPr>
        <w:ind w:firstLine="560"/>
        <w:rPr>
          <w:rFonts w:cs="Times New Roman"/>
          <w:color w:val="auto"/>
        </w:rPr>
      </w:pPr>
      <w:r>
        <w:rPr>
          <w:rFonts w:cs="Times New Roman"/>
          <w:color w:val="auto"/>
        </w:rPr>
        <w:t>（1）加强水土流失治理</w:t>
      </w:r>
    </w:p>
    <w:p>
      <w:pPr>
        <w:ind w:firstLine="560"/>
        <w:rPr>
          <w:rFonts w:cs="Times New Roman"/>
          <w:color w:val="auto"/>
        </w:rPr>
      </w:pPr>
      <w:r>
        <w:rPr>
          <w:rFonts w:cs="Times New Roman"/>
          <w:color w:val="auto"/>
        </w:rPr>
        <w:t>根据地貌特点、土地利用状况和生产力发展水平，对水土流失较重的区域，以侵蚀沟治理为重点，以保护和合理开发利用水土资源为目标，在保护好现有植被的基础上，本着山水林田湖草沙一体化的理念，工程、植物措施并举的治理原则，因地制宜、因害设防地安排沟道防护工程等各项治理工程。综合防治各项措施相互协调配合，工程保植物、植物护工程，逐步形成工程措施、植物措施相结合的立体防治结构，发挥群体防护作用，减少水土流失面积，减缓土壤侵蚀速率，</w:t>
      </w:r>
      <w:r>
        <w:rPr>
          <w:rFonts w:hint="eastAsia" w:cs="Times New Roman"/>
          <w:color w:val="auto"/>
          <w:lang w:eastAsia="zh-CN"/>
        </w:rPr>
        <w:t>保护水土资源</w:t>
      </w:r>
      <w:r>
        <w:rPr>
          <w:rFonts w:cs="Times New Roman"/>
          <w:color w:val="auto"/>
        </w:rPr>
        <w:t>，降低黑土层流失量，提高黑土地地力，改善生态环境的目的。</w:t>
      </w:r>
    </w:p>
    <w:p>
      <w:pPr>
        <w:ind w:firstLine="560"/>
        <w:rPr>
          <w:rFonts w:cs="Times New Roman"/>
          <w:color w:val="auto"/>
        </w:rPr>
      </w:pPr>
      <w:r>
        <w:rPr>
          <w:rFonts w:cs="Times New Roman"/>
          <w:color w:val="auto"/>
        </w:rPr>
        <w:t>（2）加大矿山治理力度</w:t>
      </w:r>
    </w:p>
    <w:p>
      <w:pPr>
        <w:ind w:firstLine="560"/>
        <w:rPr>
          <w:rFonts w:cs="Times New Roman"/>
          <w:color w:val="auto"/>
        </w:rPr>
      </w:pPr>
      <w:r>
        <w:rPr>
          <w:rFonts w:cs="Times New Roman"/>
          <w:color w:val="auto"/>
        </w:rPr>
        <w:t>实行矿山地质环境保护与土地复垦责任主体制度，按照“谁开发、谁保护、谁破坏、谁治理”的原则，新改扩建矿山、生产矿山、闭坑矿山，是矿山地质环境保护与治理的责任主体。要将矿山地质环境保护与治理恢复，贯穿于矿山设计、建设、生产、闭坑全过程，切实保障矿山地质环境得到有效保护与治理恢复。</w:t>
      </w:r>
    </w:p>
    <w:p>
      <w:pPr>
        <w:ind w:firstLine="560"/>
        <w:rPr>
          <w:rFonts w:cs="Times New Roman"/>
          <w:color w:val="auto"/>
        </w:rPr>
      </w:pPr>
      <w:r>
        <w:rPr>
          <w:rFonts w:cs="Times New Roman"/>
          <w:color w:val="auto"/>
        </w:rPr>
        <w:t>加大督促关闭退出矿山恢复治理力度，完成矿山环境治理恢复进度。对已无责任主体的历史遗留矿山，依据“谁投资、谁治理、谁受益”的原则，采取“政府主导、政策扶持、市场运作、社会参与”的矿山地质环境治理新模式，运用政府与社会资本合作、第三方治理等新政策，推进矿山地质环境综合治理。</w:t>
      </w:r>
    </w:p>
    <w:p>
      <w:pPr>
        <w:ind w:firstLine="560"/>
        <w:rPr>
          <w:rFonts w:cs="Times New Roman"/>
          <w:color w:val="auto"/>
        </w:rPr>
      </w:pPr>
      <w:r>
        <w:rPr>
          <w:rFonts w:cs="Times New Roman"/>
          <w:color w:val="auto"/>
        </w:rPr>
        <w:t>坚持矿产资源开发与环境保护并重的原则和预防为主、防治结合的方针，建立健全矿山地质环境管理体系，加强对土地复垦方案的审查和生产期间的监督管理，在矿山关闭前进行地质环境治理与土地复垦成果验收。健全水土保持监管制度，加强水土保持管理。</w:t>
      </w:r>
    </w:p>
    <w:p>
      <w:pPr>
        <w:pStyle w:val="3"/>
        <w:ind w:firstLine="0" w:firstLineChars="0"/>
        <w:rPr>
          <w:rFonts w:ascii="Times New Roman" w:hAnsi="Times New Roman" w:eastAsia="仿宋" w:cs="Times New Roman"/>
          <w:color w:val="auto"/>
        </w:rPr>
      </w:pPr>
      <w:bookmarkStart w:id="48" w:name="_Toc3268"/>
      <w:r>
        <w:rPr>
          <w:rFonts w:hint="eastAsia" w:ascii="Times New Roman" w:hAnsi="Times New Roman" w:eastAsia="仿宋" w:cs="Times New Roman"/>
          <w:color w:val="auto"/>
        </w:rPr>
        <w:t>7</w:t>
      </w:r>
      <w:r>
        <w:rPr>
          <w:rFonts w:ascii="Times New Roman" w:hAnsi="Times New Roman" w:eastAsia="仿宋" w:cs="Times New Roman"/>
          <w:color w:val="auto"/>
        </w:rPr>
        <w:t>.3保护区域生物多样性，提高生态系统稳定性</w:t>
      </w:r>
      <w:bookmarkEnd w:id="48"/>
    </w:p>
    <w:p>
      <w:pPr>
        <w:ind w:firstLine="560"/>
        <w:rPr>
          <w:rFonts w:cs="Times New Roman"/>
          <w:color w:val="auto"/>
        </w:rPr>
      </w:pPr>
      <w:r>
        <w:rPr>
          <w:rFonts w:cs="Times New Roman"/>
          <w:color w:val="auto"/>
        </w:rPr>
        <w:t>（1）严守生态保护红线</w:t>
      </w:r>
    </w:p>
    <w:p>
      <w:pPr>
        <w:ind w:firstLine="560"/>
        <w:rPr>
          <w:rFonts w:cs="Times New Roman"/>
          <w:color w:val="auto"/>
        </w:rPr>
      </w:pPr>
      <w:r>
        <w:rPr>
          <w:rFonts w:cs="Times New Roman"/>
          <w:color w:val="auto"/>
        </w:rPr>
        <w:t>严格落实生态保护红线管制要求，生态保护红线按照禁止开发区域的管理要求，严格控制一切与提升生态系统质量、生态保护以及修复无关的活动。在生态保护红线内，禁止城镇化和工业化活动，禁止矿产资源开发、商品房建设、规模化养殖，禁止建设破坏生态和污染环境的建设项目。禁止改变区域生态用地，确保生态红线面积不减少，生态功能不降低，用地性质不改变，资源使用不超限。在生态保护红线范围内，不得开展禁止类人类活动和建设项目，并加强原有活动的管理。</w:t>
      </w:r>
    </w:p>
    <w:p>
      <w:pPr>
        <w:ind w:firstLine="560"/>
        <w:rPr>
          <w:rFonts w:cs="Times New Roman"/>
          <w:color w:val="auto"/>
        </w:rPr>
      </w:pPr>
      <w:r>
        <w:rPr>
          <w:rFonts w:cs="Times New Roman"/>
          <w:color w:val="auto"/>
        </w:rPr>
        <w:t>（2）加强自然保护地生态功能保护</w:t>
      </w:r>
    </w:p>
    <w:p>
      <w:pPr>
        <w:ind w:firstLine="560"/>
        <w:rPr>
          <w:rFonts w:cs="Times New Roman"/>
          <w:color w:val="auto"/>
        </w:rPr>
      </w:pPr>
      <w:r>
        <w:rPr>
          <w:rFonts w:cs="Times New Roman"/>
          <w:color w:val="auto"/>
        </w:rPr>
        <w:t>构建以自然保护区和森林公园为主体的自然保护体系，筑牢“一屏三廊多核”的生态系统保护格局。实行强制性保护措施，避免生产生活活动对自然保护地生态环境的损害和干扰。进一步加大野生动植物及其栖息地保护和管理力度，提高民众对野生动植物的保护意识，加大对野生动植物保护的投入比例，促进野生动植物持续、健康、稳定发展。同时加强黑龙江绥棱努敏河省级自然保护区、黑龙江双岔河湿地自然保护区、黑龙江大青观国家森林公园等自然保护地的建设，使其在该区域内特有的和典型的森林、湿地、野生动植物资源得到有效保护。完善保护区的基础设施建设，定期进行巡护、检查，严厉查处自然保护地乱砍滥伐林木、乱采滥挖野生植物、乱捕滥猎野生动物等违法活动。同时开展重点保护野生动植物资源调查，搞好野生动植物科学研究和科普宣教，增强全社会对野生动植物爱护和保护意识，全面推进野生动植物保护工作向纵深处发展。</w:t>
      </w:r>
    </w:p>
    <w:p>
      <w:pPr>
        <w:ind w:firstLine="560"/>
        <w:rPr>
          <w:rFonts w:cs="Times New Roman"/>
          <w:color w:val="auto"/>
          <w:szCs w:val="22"/>
        </w:rPr>
      </w:pPr>
      <w:r>
        <w:rPr>
          <w:rFonts w:cs="Times New Roman"/>
          <w:color w:val="auto"/>
          <w:szCs w:val="22"/>
        </w:rPr>
        <w:t>（3）强化湿地生态系统保护</w:t>
      </w:r>
    </w:p>
    <w:p>
      <w:pPr>
        <w:ind w:firstLine="560"/>
        <w:rPr>
          <w:rFonts w:cs="Times New Roman"/>
          <w:color w:val="auto"/>
          <w:szCs w:val="22"/>
        </w:rPr>
      </w:pPr>
      <w:r>
        <w:rPr>
          <w:rFonts w:cs="Times New Roman"/>
          <w:color w:val="auto"/>
          <w:szCs w:val="22"/>
        </w:rPr>
        <w:t>实施湿地保有量管控措施，落实湿地保护管理目标责任制，禁止围垦湿地，推行林长制、河长制，强化湿地修复的重要性，不断提升湿地生态系统的稳定性。</w:t>
      </w:r>
    </w:p>
    <w:p>
      <w:pPr>
        <w:ind w:firstLine="560"/>
        <w:rPr>
          <w:rFonts w:cs="Times New Roman"/>
          <w:color w:val="auto"/>
          <w:szCs w:val="22"/>
        </w:rPr>
      </w:pPr>
      <w:r>
        <w:rPr>
          <w:rFonts w:cs="Times New Roman"/>
          <w:color w:val="auto"/>
          <w:szCs w:val="22"/>
        </w:rPr>
        <w:t>加强湿地保护管理体系建设，健全完善湿地保护制度。加大湿地保护力度，依法依规科学保护湿地，提高社会认知度，切实提高社会各界对湿地资源保护的认识，坚决守住发展和生态两条底线，对湿地的规划、保护和利用、监督和管理进行规范。加强湿地管理机构建设，提升湿地保护管理机构的能力建设，认真履行湿地保护职责，形成工作合力，切实加强湿地保护管理工作。</w:t>
      </w:r>
    </w:p>
    <w:p>
      <w:pPr>
        <w:ind w:firstLine="560"/>
        <w:rPr>
          <w:rFonts w:cs="Times New Roman"/>
          <w:color w:val="auto"/>
          <w:szCs w:val="22"/>
        </w:rPr>
      </w:pPr>
      <w:r>
        <w:rPr>
          <w:rFonts w:cs="Times New Roman"/>
          <w:color w:val="auto"/>
          <w:szCs w:val="22"/>
        </w:rPr>
        <w:t>（4）加强野生动物保护宣教</w:t>
      </w:r>
    </w:p>
    <w:p>
      <w:pPr>
        <w:ind w:firstLine="560"/>
        <w:rPr>
          <w:rFonts w:cs="Times New Roman"/>
          <w:color w:val="auto"/>
          <w:szCs w:val="22"/>
        </w:rPr>
      </w:pPr>
      <w:r>
        <w:rPr>
          <w:rFonts w:cs="Times New Roman"/>
          <w:color w:val="auto"/>
          <w:szCs w:val="22"/>
        </w:rPr>
        <w:t>通过电视、网站、微博、微信、抖音等媒体开展宣传新《野生动物保护法》等各类法规。积极举办生物多样性保护主题活动，以公众宣传、海报、图片和视频等形式，向大众传播生物多样性保护的重要性与相关基础知识。</w:t>
      </w:r>
    </w:p>
    <w:p>
      <w:pPr>
        <w:pStyle w:val="3"/>
        <w:ind w:firstLine="0" w:firstLineChars="0"/>
        <w:rPr>
          <w:rFonts w:ascii="Times New Roman" w:hAnsi="Times New Roman" w:eastAsia="仿宋" w:cs="Times New Roman"/>
          <w:color w:val="auto"/>
        </w:rPr>
      </w:pPr>
      <w:bookmarkStart w:id="49" w:name="_Toc32037"/>
      <w:r>
        <w:rPr>
          <w:rFonts w:hint="eastAsia" w:ascii="Times New Roman" w:hAnsi="Times New Roman" w:eastAsia="仿宋" w:cs="Times New Roman"/>
          <w:color w:val="auto"/>
        </w:rPr>
        <w:t>7</w:t>
      </w:r>
      <w:r>
        <w:rPr>
          <w:rFonts w:ascii="Times New Roman" w:hAnsi="Times New Roman" w:eastAsia="仿宋" w:cs="Times New Roman"/>
          <w:color w:val="auto"/>
        </w:rPr>
        <w:t>.4开展城乡环境整治，打造绿色绥棱</w:t>
      </w:r>
      <w:bookmarkEnd w:id="49"/>
    </w:p>
    <w:p>
      <w:pPr>
        <w:ind w:firstLine="560"/>
        <w:rPr>
          <w:rFonts w:cs="Times New Roman"/>
          <w:color w:val="auto"/>
          <w:szCs w:val="22"/>
        </w:rPr>
      </w:pPr>
      <w:r>
        <w:rPr>
          <w:rFonts w:cs="Times New Roman"/>
          <w:color w:val="auto"/>
          <w:szCs w:val="22"/>
        </w:rPr>
        <w:t>（1）提升耕地质量，开展土地综合整治</w:t>
      </w:r>
    </w:p>
    <w:p>
      <w:pPr>
        <w:ind w:firstLine="560"/>
        <w:rPr>
          <w:rFonts w:cs="Times New Roman"/>
          <w:color w:val="auto"/>
        </w:rPr>
      </w:pPr>
      <w:r>
        <w:rPr>
          <w:rFonts w:cs="Times New Roman"/>
          <w:color w:val="auto"/>
        </w:rPr>
        <w:t>围绕提升耕地土壤肥力、抗灾能力和持续产出能力，实施高标准农田建设工程，增施有机肥，培肥地力，提高耕地质量，完善耕作制度和农田管理模式。针对农田生态系统实施全域高标准农田、生态农业、水土保持综合治理、耕地质量建设及农业面源污染协同治理等工程，开展低效林草地、工矿废弃地及其他低效闲置建设用地整理、农村人居环境整治等生态修复工程，推进农用地整理、建设用地整理、乡村生态保护修复、乡村风貌提升和历史文化保护，维护生物多样性，改善农田生境和条件。</w:t>
      </w:r>
    </w:p>
    <w:p>
      <w:pPr>
        <w:ind w:firstLine="560"/>
        <w:rPr>
          <w:rFonts w:cs="Times New Roman"/>
          <w:color w:val="auto"/>
        </w:rPr>
      </w:pPr>
      <w:r>
        <w:rPr>
          <w:rFonts w:cs="Times New Roman"/>
          <w:color w:val="auto"/>
        </w:rPr>
        <w:t>在保障耕地质量不下降的前提下，发挥耕地作为集传统农耕文化、自然景观、生态资源于一体的重要载体功能，将耕地保护与美丽田园建设、农田大地景观建设、现代农业产业园建设等结合，充分开发利用其农业生产、休闲观光、文化体验、生态涵养等多重价值。在生态保育方面，强化耕地利用的休养生息，结合农业耕作模式和水土环境质量，通过轮作休耕和种植结构的调整，促进耕地从高投入、高产出的传统利用方式转向养护与育肥相结合的生态型生产方式，促进耕地绿色安全利用。在休闲景观方面，强调耕地资源的空间共享和集约利用，积极调整农业种植结构，发展多元化、多层次的混合种养模式，促进种植业的功能复合，实现农业与休闲景观的深度融合。</w:t>
      </w:r>
    </w:p>
    <w:p>
      <w:pPr>
        <w:ind w:firstLine="560"/>
        <w:rPr>
          <w:rFonts w:cs="Times New Roman"/>
          <w:color w:val="auto"/>
        </w:rPr>
      </w:pPr>
      <w:r>
        <w:rPr>
          <w:rFonts w:cs="Times New Roman"/>
          <w:color w:val="auto"/>
        </w:rPr>
        <w:t>（2）强化农业面源污染防治，改善人居环境</w:t>
      </w:r>
    </w:p>
    <w:p>
      <w:pPr>
        <w:ind w:firstLine="560"/>
        <w:rPr>
          <w:rFonts w:cs="Times New Roman"/>
          <w:color w:val="auto"/>
        </w:rPr>
      </w:pPr>
      <w:r>
        <w:rPr>
          <w:rFonts w:cs="Times New Roman"/>
          <w:color w:val="auto"/>
        </w:rPr>
        <w:t>建立农药包装废弃物回收激励机制，严控农村畜禽养殖、农药化肥面源污染，利用生物技术降解处理畜禽粪污，引进适用秸秆和畜禽粪污回收、加工处理机具。推进农村生活垃圾集中收集处理，完善农村聚居点卫生厕所、污水处理、垃圾收运设施，改善人居生活环境。</w:t>
      </w:r>
    </w:p>
    <w:p>
      <w:pPr>
        <w:ind w:firstLine="560"/>
        <w:rPr>
          <w:rFonts w:cs="Times New Roman"/>
          <w:color w:val="auto"/>
        </w:rPr>
      </w:pPr>
      <w:r>
        <w:rPr>
          <w:rFonts w:cs="Times New Roman"/>
          <w:color w:val="auto"/>
        </w:rPr>
        <w:t>（3）加强农村人居环境整治，推进城乡基础设施建设</w:t>
      </w:r>
    </w:p>
    <w:p>
      <w:pPr>
        <w:ind w:firstLine="560"/>
        <w:rPr>
          <w:rFonts w:cs="Times New Roman"/>
          <w:color w:val="auto"/>
        </w:rPr>
      </w:pPr>
      <w:r>
        <w:rPr>
          <w:rFonts w:cs="Times New Roman"/>
          <w:color w:val="auto"/>
        </w:rPr>
        <w:t>完善公园体系和绿道网络，对城镇的公共服务设施、基础服务设施、市政廊道等地进行提质改造和配套完善，实施市政道路、综合管廊、绿化景观、路灯亮化等工程。实施城镇排水管网雨污分流改造，完善城市排水与暴雨内涝防治体系；重塑健康自然的河湖岸线，增强城镇绿地的系统性、协同性，提升城镇生态系统服务价值，推动海绵城市、绿色低碳城市和生态园林城市建设。</w:t>
      </w:r>
    </w:p>
    <w:p>
      <w:pPr>
        <w:ind w:firstLine="560"/>
        <w:rPr>
          <w:rFonts w:cs="Times New Roman"/>
          <w:color w:val="auto"/>
        </w:rPr>
      </w:pPr>
      <w:r>
        <w:rPr>
          <w:rFonts w:cs="Times New Roman"/>
          <w:color w:val="auto"/>
        </w:rPr>
        <w:t>将生态文明建设与乡村文化建设相结合，农村人居环境整治与农村精神文明进步相结合，以打造整洁村庄为目标，全面巩固提升农村环境基础整治成果，推动农村人居环境由基础整治向品质提升迈进。因地制宜推进农村改厕、农村生活垃圾分类、农村生活污水治理、农村黑臭水体治理，开展村庄清洁和绿化行动。</w:t>
      </w:r>
    </w:p>
    <w:p>
      <w:pPr>
        <w:ind w:firstLine="560"/>
        <w:rPr>
          <w:rFonts w:cs="Times New Roman"/>
          <w:color w:val="auto"/>
        </w:rPr>
      </w:pPr>
      <w:r>
        <w:rPr>
          <w:rFonts w:cs="Times New Roman"/>
          <w:color w:val="auto"/>
        </w:rPr>
        <w:t>（4）开展城乡绿化工程建设</w:t>
      </w:r>
    </w:p>
    <w:p>
      <w:pPr>
        <w:ind w:firstLine="560"/>
        <w:rPr>
          <w:rFonts w:cs="Times New Roman"/>
          <w:b/>
          <w:color w:val="auto"/>
        </w:rPr>
      </w:pPr>
      <w:r>
        <w:rPr>
          <w:rFonts w:cs="Times New Roman"/>
          <w:color w:val="auto"/>
        </w:rPr>
        <w:t>在中心城市，依托现有的公园、绿地、山体，建设以森林植被群落为主体的风景林和森林绿岛。开展林业生态文明村绿化建设，加强宜林闲置地的整治，逐步建成村容整洁、绿化美化、符合生态文明要求的人居环境。继续推进铁路、国道、省道、高速公路和农田林网等沿线绿化，构筑覆盖全省的绿色森林网络，实现绥棱县绿色森林的组团连接</w:t>
      </w:r>
      <w:r>
        <w:rPr>
          <w:rFonts w:hint="eastAsia" w:cs="Times New Roman"/>
          <w:color w:val="auto"/>
        </w:rPr>
        <w:t>。</w:t>
      </w:r>
    </w:p>
    <w:p>
      <w:pPr>
        <w:pStyle w:val="3"/>
        <w:ind w:firstLine="0" w:firstLineChars="0"/>
        <w:rPr>
          <w:rFonts w:ascii="Times New Roman" w:hAnsi="Times New Roman" w:eastAsia="仿宋" w:cs="Times New Roman"/>
          <w:color w:val="auto"/>
        </w:rPr>
      </w:pPr>
      <w:bookmarkStart w:id="50" w:name="_Toc9241"/>
      <w:r>
        <w:rPr>
          <w:rFonts w:hint="eastAsia" w:ascii="Times New Roman" w:hAnsi="Times New Roman" w:eastAsia="仿宋" w:cs="Times New Roman"/>
          <w:color w:val="auto"/>
        </w:rPr>
        <w:t>7</w:t>
      </w:r>
      <w:r>
        <w:rPr>
          <w:rFonts w:ascii="Times New Roman" w:hAnsi="Times New Roman" w:eastAsia="仿宋" w:cs="Times New Roman"/>
          <w:color w:val="auto"/>
        </w:rPr>
        <w:t>.</w:t>
      </w:r>
      <w:r>
        <w:rPr>
          <w:rFonts w:hint="eastAsia" w:ascii="Times New Roman" w:hAnsi="Times New Roman" w:eastAsia="仿宋" w:cs="Times New Roman"/>
          <w:color w:val="auto"/>
        </w:rPr>
        <w:t>5有序开展固废污染防治工作，促进固废综合利用</w:t>
      </w:r>
      <w:bookmarkEnd w:id="50"/>
    </w:p>
    <w:p>
      <w:pPr>
        <w:ind w:firstLine="560"/>
        <w:rPr>
          <w:color w:val="auto"/>
        </w:rPr>
      </w:pPr>
      <w:r>
        <w:rPr>
          <w:rFonts w:hint="eastAsia"/>
          <w:color w:val="auto"/>
        </w:rPr>
        <w:t>（1）逐步推行生活垃圾分类制度</w:t>
      </w:r>
    </w:p>
    <w:p>
      <w:pPr>
        <w:ind w:firstLine="560"/>
        <w:rPr>
          <w:rFonts w:cs="Times New Roman"/>
          <w:color w:val="auto"/>
        </w:rPr>
      </w:pPr>
      <w:r>
        <w:rPr>
          <w:rFonts w:hint="eastAsia" w:cs="Times New Roman"/>
          <w:color w:val="auto"/>
        </w:rPr>
        <w:t>逐步建立并不断完善垃圾治理体系、政策制度体系、管理考核体系、控量减量体系、宣传动员体系和保障支撑体系，从“单打独斗”</w:t>
      </w:r>
    </w:p>
    <w:p>
      <w:pPr>
        <w:ind w:firstLine="0" w:firstLineChars="0"/>
        <w:rPr>
          <w:rFonts w:cs="Times New Roman"/>
          <w:color w:val="auto"/>
        </w:rPr>
      </w:pPr>
      <w:r>
        <w:rPr>
          <w:rFonts w:hint="eastAsia" w:cs="Times New Roman"/>
          <w:color w:val="auto"/>
        </w:rPr>
        <w:t>转为“协同作战”，共管网络逐步形成，把各相关职能部门拉进同一战壕，统一思想、各司其责、步调一致。</w:t>
      </w:r>
    </w:p>
    <w:p>
      <w:pPr>
        <w:ind w:firstLine="560"/>
        <w:rPr>
          <w:rFonts w:cs="Times New Roman"/>
          <w:color w:val="auto"/>
        </w:rPr>
      </w:pPr>
      <w:r>
        <w:rPr>
          <w:rFonts w:hint="eastAsia" w:cs="Times New Roman"/>
          <w:color w:val="auto"/>
        </w:rPr>
        <w:t>大力推进分类投放、分类收集、分类运输和分类处理，加大宣传力度，从“被动消极”转为“主动积极”，完善分类投放设施，加大投放环节监管力度，优化垃圾清运服务，增强群众获得感和幸福感。</w:t>
      </w:r>
    </w:p>
    <w:p>
      <w:pPr>
        <w:ind w:firstLine="560"/>
        <w:rPr>
          <w:rFonts w:cs="Times New Roman"/>
          <w:color w:val="auto"/>
        </w:rPr>
      </w:pPr>
      <w:r>
        <w:rPr>
          <w:rFonts w:hint="eastAsia" w:cs="Times New Roman"/>
          <w:color w:val="auto"/>
        </w:rPr>
        <w:t>（2）建立健全工业固体废物污染防治责任制度</w:t>
      </w:r>
    </w:p>
    <w:p>
      <w:pPr>
        <w:ind w:firstLine="560"/>
        <w:rPr>
          <w:rFonts w:cs="Times New Roman"/>
          <w:color w:val="auto"/>
        </w:rPr>
      </w:pPr>
      <w:r>
        <w:rPr>
          <w:rFonts w:hint="eastAsia" w:cs="Times New Roman"/>
          <w:color w:val="auto"/>
        </w:rPr>
        <w:t>落实一般工业固体废物产生单位主体责任，产废单位应严格按照《固废法》等法律法规有关规定，落实固体废物环境管理主体责任，建立健全一般工业固体废物产生、收集、贮存、运输、利用、处置全过程污染环境防治责任制度和管理台账，做到内部管理严格、委外处理规范。产废单位应主动推进一般工业固体废物的源头减量、资源化利用和无害化处置，按照“谁产生、谁负责”原则，委托有专业能力的运输、利用、处置单位处理。</w:t>
      </w:r>
    </w:p>
    <w:p>
      <w:pPr>
        <w:ind w:firstLine="560"/>
        <w:rPr>
          <w:rFonts w:cs="Times New Roman"/>
          <w:color w:val="auto"/>
        </w:rPr>
      </w:pPr>
      <w:r>
        <w:rPr>
          <w:rFonts w:hint="eastAsia" w:cs="Times New Roman"/>
          <w:color w:val="auto"/>
        </w:rPr>
        <w:t>加强一般工业固体废物收集、贮存、运输、处置全过程环境监管，督促企业落实固体废物台账、申报登记等环境管理要求，指导其依法依规做好一般工业固体废物处理处置工作，并按要求执行排污许可管理制度的相关规定。</w:t>
      </w:r>
    </w:p>
    <w:p>
      <w:pPr>
        <w:ind w:firstLine="560"/>
        <w:rPr>
          <w:rFonts w:cs="Times New Roman"/>
          <w:color w:val="auto"/>
        </w:rPr>
      </w:pPr>
      <w:r>
        <w:rPr>
          <w:rFonts w:hint="eastAsia" w:cs="Times New Roman"/>
          <w:color w:val="auto"/>
        </w:rPr>
        <w:t>（3）推进矿山固体废弃物资源化综合利用，加快矿业绿色发展</w:t>
      </w:r>
    </w:p>
    <w:p>
      <w:pPr>
        <w:ind w:firstLine="560"/>
        <w:rPr>
          <w:rFonts w:cs="Times New Roman"/>
          <w:color w:val="auto"/>
        </w:rPr>
      </w:pPr>
      <w:r>
        <w:rPr>
          <w:rFonts w:hint="eastAsia" w:cs="Times New Roman"/>
          <w:color w:val="auto"/>
        </w:rPr>
        <w:t>坚持节约优先，推动资源利用方式转变，完善资源高效利用和管理制度，合理调控资源开发利用强度，严格矿山最低开采规模准入要求。完善矿产资源节约与综合利用的激励约束机制，鼓励资源循环利用，推进资源有效保护、规模开发和集约利用。</w:t>
      </w:r>
    </w:p>
    <w:p>
      <w:pPr>
        <w:ind w:firstLine="560"/>
        <w:rPr>
          <w:rFonts w:cs="Times New Roman"/>
          <w:color w:val="auto"/>
        </w:rPr>
      </w:pPr>
      <w:r>
        <w:rPr>
          <w:rFonts w:hint="eastAsia" w:cs="Times New Roman"/>
          <w:color w:val="auto"/>
        </w:rPr>
        <w:t>全面实施绿色开采，减少矿业固体废物产生和贮存处置量，按照绿色矿山建设要求，因矿制宜采用充填采矿技术，推动利用矿业固体废物治理采空区和塌陷区等，构建绿色矿业发展长效机制。加强矿区生态保护，推动资源开发利用与生态保护有机衔接，健全矿区生态保护责任追究机制，引导矿山企业落实主体责任。</w:t>
      </w:r>
    </w:p>
    <w:p>
      <w:pPr>
        <w:ind w:firstLine="560"/>
        <w:rPr>
          <w:rFonts w:cs="Times New Roman"/>
          <w:color w:val="auto"/>
        </w:rPr>
      </w:pPr>
      <w:r>
        <w:rPr>
          <w:rFonts w:hint="eastAsia" w:cs="Times New Roman"/>
          <w:color w:val="auto"/>
        </w:rPr>
        <w:t>（4）建立建筑垃圾管理制度，强化综合利用</w:t>
      </w:r>
    </w:p>
    <w:p>
      <w:pPr>
        <w:ind w:firstLine="560"/>
        <w:rPr>
          <w:rFonts w:cs="Times New Roman"/>
          <w:color w:val="auto"/>
        </w:rPr>
      </w:pPr>
      <w:r>
        <w:rPr>
          <w:rFonts w:hint="eastAsia" w:cs="Times New Roman"/>
          <w:color w:val="auto"/>
        </w:rPr>
        <w:t>建立建筑垃圾全过程管理制度，规范建筑垃圾产生、收集、贮存、运输、利用、处置行为，推进综合利用，加强建筑垃圾处置设施、场所建设，保障处置安全，防止污染环境。</w:t>
      </w:r>
    </w:p>
    <w:p>
      <w:pPr>
        <w:ind w:firstLine="560"/>
        <w:rPr>
          <w:rFonts w:cs="Times New Roman"/>
          <w:color w:val="auto"/>
        </w:rPr>
      </w:pPr>
      <w:r>
        <w:rPr>
          <w:rFonts w:hint="eastAsia" w:cs="Times New Roman"/>
          <w:color w:val="auto"/>
        </w:rPr>
        <w:t>（5）科学开展农业面源污染防治，强化农业固废治理</w:t>
      </w:r>
    </w:p>
    <w:p>
      <w:pPr>
        <w:ind w:firstLine="560"/>
        <w:rPr>
          <w:rFonts w:cs="Times New Roman"/>
          <w:color w:val="auto"/>
        </w:rPr>
      </w:pPr>
      <w:r>
        <w:rPr>
          <w:rFonts w:hint="eastAsia" w:cs="Times New Roman"/>
          <w:color w:val="auto"/>
        </w:rPr>
        <w:t>优化农业生产空间布局，</w:t>
      </w:r>
      <w:r>
        <w:rPr>
          <w:rFonts w:cs="Times New Roman"/>
          <w:color w:val="auto"/>
        </w:rPr>
        <w:t>位于自然保护地核心区内的耕地应纳入生态退耕、有序退出</w:t>
      </w:r>
      <w:r>
        <w:rPr>
          <w:rFonts w:hint="eastAsia" w:cs="Times New Roman"/>
          <w:color w:val="auto"/>
        </w:rPr>
        <w:t>。</w:t>
      </w:r>
      <w:r>
        <w:rPr>
          <w:rFonts w:cs="Times New Roman"/>
          <w:color w:val="auto"/>
        </w:rPr>
        <w:t>实施黑土地保护工程，推进工程措施和农艺措施相结合，有效遏制黑土地“变薄、变瘦、变硬”退化趋势。推进土壤侵蚀防治，治理坡耕地防治土壤水蚀，建设农田防护体系防治土壤风蚀，治理侵蚀沟修复保护耕地。持续推广测土配方施肥</w:t>
      </w:r>
      <w:r>
        <w:rPr>
          <w:rFonts w:hint="eastAsia" w:cs="Times New Roman"/>
          <w:color w:val="auto"/>
        </w:rPr>
        <w:t>，</w:t>
      </w:r>
      <w:r>
        <w:rPr>
          <w:rFonts w:cs="Times New Roman"/>
          <w:color w:val="auto"/>
        </w:rPr>
        <w:t>改进施肥方式</w:t>
      </w:r>
      <w:r>
        <w:rPr>
          <w:rFonts w:hint="eastAsia" w:cs="Times New Roman"/>
          <w:color w:val="auto"/>
        </w:rPr>
        <w:t>，</w:t>
      </w:r>
      <w:r>
        <w:rPr>
          <w:rFonts w:cs="Times New Roman"/>
          <w:color w:val="auto"/>
        </w:rPr>
        <w:t>调整化肥使用结构</w:t>
      </w:r>
      <w:r>
        <w:rPr>
          <w:rFonts w:hint="eastAsia" w:cs="Times New Roman"/>
          <w:color w:val="auto"/>
        </w:rPr>
        <w:t>，</w:t>
      </w:r>
      <w:r>
        <w:rPr>
          <w:rFonts w:cs="Times New Roman"/>
          <w:color w:val="auto"/>
        </w:rPr>
        <w:t>推广有机肥替代部分化肥</w:t>
      </w:r>
      <w:r>
        <w:rPr>
          <w:rFonts w:hint="eastAsia" w:cs="Times New Roman"/>
          <w:color w:val="auto"/>
        </w:rPr>
        <w:t>。推广</w:t>
      </w:r>
      <w:r>
        <w:rPr>
          <w:rFonts w:hint="eastAsia" w:cs="Times New Roman"/>
          <w:color w:val="auto"/>
          <w:lang w:val="en-US" w:eastAsia="zh-CN"/>
        </w:rPr>
        <w:t>农药化肥减量增效</w:t>
      </w:r>
      <w:r>
        <w:rPr>
          <w:rFonts w:hint="eastAsia" w:cs="Times New Roman"/>
          <w:color w:val="auto"/>
        </w:rPr>
        <w:t>，</w:t>
      </w:r>
      <w:r>
        <w:rPr>
          <w:rFonts w:hint="eastAsia" w:cs="Times New Roman"/>
          <w:color w:val="auto"/>
          <w:lang w:val="en-US" w:eastAsia="zh-CN"/>
        </w:rPr>
        <w:t>提高科学用药水平，</w:t>
      </w:r>
      <w:r>
        <w:rPr>
          <w:rFonts w:cs="Times New Roman"/>
          <w:color w:val="auto"/>
        </w:rPr>
        <w:t>开展农田退水管理，提高畜禽粪污、秸秆等资源化利用率</w:t>
      </w:r>
      <w:r>
        <w:rPr>
          <w:rFonts w:hint="eastAsia" w:cs="Times New Roman"/>
          <w:color w:val="auto"/>
        </w:rPr>
        <w:t>。</w:t>
      </w:r>
      <w:r>
        <w:rPr>
          <w:rFonts w:cs="Times New Roman"/>
          <w:color w:val="auto"/>
        </w:rPr>
        <w:t>加强白色污染防治</w:t>
      </w:r>
      <w:r>
        <w:rPr>
          <w:rFonts w:hint="eastAsia" w:cs="Times New Roman"/>
          <w:color w:val="auto"/>
        </w:rPr>
        <w:t>，推进农膜回收和废弃包装袋回收。</w:t>
      </w:r>
    </w:p>
    <w:p>
      <w:pPr>
        <w:ind w:firstLine="560"/>
        <w:rPr>
          <w:rFonts w:cs="Times New Roman"/>
          <w:color w:val="auto"/>
        </w:rPr>
      </w:pPr>
      <w:r>
        <w:rPr>
          <w:rFonts w:hint="eastAsia" w:cs="Times New Roman"/>
          <w:color w:val="auto"/>
        </w:rPr>
        <w:t>（6）加强危险废物治理工作，健全长效监管机制</w:t>
      </w:r>
    </w:p>
    <w:p>
      <w:pPr>
        <w:ind w:firstLine="560"/>
        <w:rPr>
          <w:color w:val="auto"/>
        </w:rPr>
      </w:pPr>
      <w:r>
        <w:rPr>
          <w:rFonts w:hint="eastAsia"/>
          <w:color w:val="auto"/>
        </w:rPr>
        <w:t>加强危险废物源头治理，严格危险废物经营许可证的审批，加强危险废物的产生管理，实施危险废物分类、定量化、追溯化管理，做好危险废物的信息化管理。加强危险废物收集、运输环节管理，强化对危险废物收集和运输的监督管理，加强危险废物车辆及驾驶员的资质管理和培训。推行危险废物集中收运制度，减少危险废物的散漏。加强危险废物处理处置场地的环保设施建设和管理，保障危险废物处置对环境的影响最小化。建立健全长效监管机制，加强对危险废物环保隐患排查的力度，督促企业做好危险废物处理、处置情况核查和上报工作。</w:t>
      </w:r>
    </w:p>
    <w:p>
      <w:pPr>
        <w:widowControl/>
        <w:spacing w:line="240" w:lineRule="auto"/>
        <w:ind w:firstLine="0" w:firstLineChars="0"/>
        <w:jc w:val="left"/>
        <w:rPr>
          <w:rFonts w:cs="Times New Roman"/>
          <w:b/>
          <w:bCs/>
          <w:color w:val="auto"/>
          <w:kern w:val="44"/>
          <w:sz w:val="48"/>
          <w:szCs w:val="48"/>
        </w:rPr>
      </w:pPr>
      <w:r>
        <w:rPr>
          <w:color w:val="auto"/>
        </w:rPr>
        <w:br w:type="page"/>
      </w:r>
    </w:p>
    <w:p>
      <w:pPr>
        <w:pStyle w:val="2"/>
        <w:ind w:firstLine="0" w:firstLineChars="0"/>
        <w:rPr>
          <w:rFonts w:hint="default" w:ascii="Times New Roman" w:hAnsi="Times New Roman" w:eastAsia="仿宋"/>
          <w:color w:val="auto"/>
        </w:rPr>
      </w:pPr>
      <w:bookmarkStart w:id="51" w:name="_Toc21990"/>
      <w:r>
        <w:rPr>
          <w:rFonts w:ascii="Times New Roman" w:hAnsi="Times New Roman" w:eastAsia="仿宋"/>
          <w:color w:val="auto"/>
        </w:rPr>
        <w:t>8</w:t>
      </w:r>
      <w:r>
        <w:rPr>
          <w:rFonts w:hint="default" w:ascii="Times New Roman" w:hAnsi="Times New Roman" w:eastAsia="仿宋"/>
          <w:color w:val="auto"/>
        </w:rPr>
        <w:t xml:space="preserve"> 重点工程</w:t>
      </w:r>
      <w:bookmarkEnd w:id="51"/>
    </w:p>
    <w:p>
      <w:pPr>
        <w:ind w:firstLine="560"/>
        <w:rPr>
          <w:rFonts w:ascii="仿宋" w:hAnsi="仿宋"/>
          <w:color w:val="auto"/>
          <w:kern w:val="0"/>
        </w:rPr>
      </w:pPr>
      <w:r>
        <w:rPr>
          <w:rFonts w:hint="eastAsia" w:ascii="仿宋" w:hAnsi="仿宋"/>
          <w:color w:val="auto"/>
          <w:kern w:val="0"/>
        </w:rPr>
        <w:t>针对绥棱县生态功能特征与重要性，结合流域生态地理单元的完整性与系统性，按生态功能保护修复各分区主要修复方向，有针对性提出生态功能保护修复重点工程。</w:t>
      </w:r>
    </w:p>
    <w:p>
      <w:pPr>
        <w:ind w:firstLine="560"/>
        <w:rPr>
          <w:rFonts w:ascii="仿宋" w:hAnsi="仿宋"/>
          <w:color w:val="auto"/>
          <w:kern w:val="0"/>
        </w:rPr>
      </w:pPr>
      <w:r>
        <w:rPr>
          <w:rFonts w:hint="eastAsia" w:ascii="仿宋" w:hAnsi="仿宋"/>
          <w:color w:val="auto"/>
          <w:kern w:val="0"/>
        </w:rPr>
        <w:t>努敏河—墨尔根河水源涵养和土壤保持生态保护修复区和努敏河—克音河土壤保持生态保护修复区主要通过侵蚀沟治理、高标准农田建设、植树造林等工程措施，进一步提升水源涵养能力，控制水土流失侵蚀程度。</w:t>
      </w:r>
    </w:p>
    <w:p>
      <w:pPr>
        <w:ind w:firstLine="562"/>
        <w:rPr>
          <w:rFonts w:ascii="仿宋" w:hAnsi="仿宋"/>
          <w:b/>
          <w:bCs/>
          <w:color w:val="auto"/>
          <w:kern w:val="0"/>
        </w:rPr>
        <w:sectPr>
          <w:pgSz w:w="11906" w:h="16838"/>
          <w:pgMar w:top="1440" w:right="1800" w:bottom="1440" w:left="1800" w:header="851" w:footer="992" w:gutter="0"/>
          <w:cols w:space="425" w:num="1"/>
          <w:docGrid w:type="lines" w:linePitch="312" w:charSpace="0"/>
        </w:sectPr>
      </w:pPr>
      <w:r>
        <w:rPr>
          <w:rFonts w:hint="eastAsia" w:ascii="仿宋" w:hAnsi="仿宋"/>
          <w:b/>
          <w:bCs/>
          <w:color w:val="auto"/>
          <w:kern w:val="0"/>
        </w:rPr>
        <w:br w:type="page"/>
      </w:r>
    </w:p>
    <w:p>
      <w:pPr>
        <w:pStyle w:val="11"/>
        <w:spacing w:before="0" w:beforeAutospacing="0" w:after="0" w:afterAutospacing="0" w:line="500" w:lineRule="exact"/>
        <w:ind w:left="0" w:leftChars="0" w:firstLine="0" w:firstLineChars="0"/>
        <w:jc w:val="center"/>
        <w:rPr>
          <w:b/>
          <w:bCs/>
          <w:color w:val="auto"/>
        </w:rPr>
      </w:pPr>
      <w:r>
        <w:rPr>
          <w:rFonts w:hint="eastAsia" w:ascii="仿宋" w:hAnsi="仿宋"/>
          <w:b/>
          <w:bCs/>
          <w:color w:val="auto"/>
          <w:kern w:val="0"/>
        </w:rPr>
        <w:t>表8.1 绥棱县十四五生态功能保护修复重点工程</w:t>
      </w:r>
    </w:p>
    <w:tbl>
      <w:tblPr>
        <w:tblStyle w:val="17"/>
        <w:tblW w:w="141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2"/>
        <w:gridCol w:w="1560"/>
        <w:gridCol w:w="1860"/>
        <w:gridCol w:w="3540"/>
        <w:gridCol w:w="1095"/>
        <w:gridCol w:w="1080"/>
        <w:gridCol w:w="1020"/>
        <w:gridCol w:w="1770"/>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042" w:type="dxa"/>
            <w:vAlign w:val="center"/>
          </w:tcPr>
          <w:p>
            <w:pPr>
              <w:spacing w:line="240" w:lineRule="auto"/>
              <w:ind w:firstLine="0" w:firstLineChars="0"/>
              <w:jc w:val="center"/>
              <w:rPr>
                <w:rFonts w:ascii="仿宋" w:hAnsi="仿宋"/>
                <w:b/>
                <w:bCs/>
                <w:color w:val="auto"/>
                <w:kern w:val="0"/>
                <w:sz w:val="24"/>
                <w:szCs w:val="24"/>
              </w:rPr>
            </w:pPr>
            <w:r>
              <w:rPr>
                <w:rFonts w:hint="eastAsia" w:ascii="仿宋" w:hAnsi="仿宋"/>
                <w:b/>
                <w:bCs/>
                <w:color w:val="auto"/>
                <w:kern w:val="0"/>
                <w:sz w:val="24"/>
                <w:szCs w:val="24"/>
              </w:rPr>
              <w:t>时间</w:t>
            </w:r>
          </w:p>
        </w:tc>
        <w:tc>
          <w:tcPr>
            <w:tcW w:w="1560" w:type="dxa"/>
            <w:vAlign w:val="center"/>
          </w:tcPr>
          <w:p>
            <w:pPr>
              <w:spacing w:line="240" w:lineRule="auto"/>
              <w:ind w:firstLine="0" w:firstLineChars="0"/>
              <w:jc w:val="center"/>
              <w:rPr>
                <w:rFonts w:ascii="仿宋" w:hAnsi="仿宋"/>
                <w:b/>
                <w:bCs/>
                <w:color w:val="auto"/>
                <w:kern w:val="0"/>
                <w:sz w:val="24"/>
                <w:szCs w:val="24"/>
              </w:rPr>
            </w:pPr>
            <w:r>
              <w:rPr>
                <w:rFonts w:hint="eastAsia" w:ascii="仿宋" w:hAnsi="仿宋"/>
                <w:b/>
                <w:bCs/>
                <w:color w:val="auto"/>
                <w:kern w:val="0"/>
                <w:sz w:val="24"/>
                <w:szCs w:val="24"/>
              </w:rPr>
              <w:t>工程名称</w:t>
            </w:r>
          </w:p>
        </w:tc>
        <w:tc>
          <w:tcPr>
            <w:tcW w:w="1860" w:type="dxa"/>
            <w:vAlign w:val="center"/>
          </w:tcPr>
          <w:p>
            <w:pPr>
              <w:spacing w:line="240" w:lineRule="auto"/>
              <w:ind w:firstLine="0" w:firstLineChars="0"/>
              <w:jc w:val="center"/>
              <w:rPr>
                <w:rFonts w:ascii="仿宋" w:hAnsi="仿宋"/>
                <w:b/>
                <w:bCs/>
                <w:color w:val="auto"/>
                <w:kern w:val="0"/>
                <w:sz w:val="24"/>
                <w:szCs w:val="24"/>
              </w:rPr>
            </w:pPr>
            <w:r>
              <w:rPr>
                <w:rFonts w:hint="eastAsia" w:ascii="仿宋" w:hAnsi="仿宋"/>
                <w:b/>
                <w:bCs/>
                <w:color w:val="auto"/>
                <w:kern w:val="0"/>
                <w:sz w:val="24"/>
                <w:szCs w:val="24"/>
              </w:rPr>
              <w:t>建设地点</w:t>
            </w:r>
          </w:p>
        </w:tc>
        <w:tc>
          <w:tcPr>
            <w:tcW w:w="3540" w:type="dxa"/>
            <w:vAlign w:val="center"/>
          </w:tcPr>
          <w:p>
            <w:pPr>
              <w:spacing w:line="240" w:lineRule="auto"/>
              <w:ind w:firstLine="0" w:firstLineChars="0"/>
              <w:jc w:val="center"/>
              <w:rPr>
                <w:rFonts w:ascii="仿宋" w:hAnsi="仿宋"/>
                <w:b/>
                <w:bCs/>
                <w:color w:val="auto"/>
                <w:kern w:val="0"/>
                <w:sz w:val="24"/>
                <w:szCs w:val="24"/>
              </w:rPr>
            </w:pPr>
            <w:r>
              <w:rPr>
                <w:rFonts w:hint="eastAsia" w:ascii="仿宋" w:hAnsi="仿宋"/>
                <w:b/>
                <w:bCs/>
                <w:color w:val="auto"/>
                <w:kern w:val="0"/>
                <w:sz w:val="24"/>
                <w:szCs w:val="24"/>
              </w:rPr>
              <w:t>建设内容</w:t>
            </w:r>
          </w:p>
        </w:tc>
        <w:tc>
          <w:tcPr>
            <w:tcW w:w="1095" w:type="dxa"/>
            <w:vAlign w:val="center"/>
          </w:tcPr>
          <w:p>
            <w:pPr>
              <w:spacing w:line="240" w:lineRule="auto"/>
              <w:ind w:firstLine="0" w:firstLineChars="0"/>
              <w:jc w:val="center"/>
              <w:rPr>
                <w:rFonts w:ascii="仿宋" w:hAnsi="仿宋"/>
                <w:b/>
                <w:bCs/>
                <w:color w:val="auto"/>
                <w:kern w:val="0"/>
                <w:sz w:val="24"/>
                <w:szCs w:val="24"/>
              </w:rPr>
            </w:pPr>
            <w:r>
              <w:rPr>
                <w:rFonts w:hint="eastAsia" w:ascii="仿宋" w:hAnsi="仿宋"/>
                <w:b/>
                <w:bCs/>
                <w:color w:val="auto"/>
                <w:kern w:val="0"/>
                <w:sz w:val="24"/>
                <w:szCs w:val="24"/>
              </w:rPr>
              <w:t>总投资（万元）</w:t>
            </w:r>
          </w:p>
        </w:tc>
        <w:tc>
          <w:tcPr>
            <w:tcW w:w="1080" w:type="dxa"/>
            <w:vAlign w:val="center"/>
          </w:tcPr>
          <w:p>
            <w:pPr>
              <w:spacing w:line="240" w:lineRule="auto"/>
              <w:ind w:firstLine="0" w:firstLineChars="0"/>
              <w:jc w:val="center"/>
              <w:rPr>
                <w:rFonts w:ascii="仿宋" w:hAnsi="仿宋"/>
                <w:b/>
                <w:bCs/>
                <w:color w:val="auto"/>
                <w:kern w:val="0"/>
                <w:sz w:val="24"/>
                <w:szCs w:val="24"/>
              </w:rPr>
            </w:pPr>
            <w:r>
              <w:rPr>
                <w:rFonts w:hint="eastAsia" w:ascii="仿宋" w:hAnsi="仿宋"/>
                <w:b/>
                <w:bCs/>
                <w:color w:val="auto"/>
                <w:kern w:val="0"/>
                <w:sz w:val="24"/>
                <w:szCs w:val="24"/>
              </w:rPr>
              <w:t>开工时间</w:t>
            </w:r>
          </w:p>
        </w:tc>
        <w:tc>
          <w:tcPr>
            <w:tcW w:w="1020" w:type="dxa"/>
            <w:vAlign w:val="center"/>
          </w:tcPr>
          <w:p>
            <w:pPr>
              <w:spacing w:line="240" w:lineRule="auto"/>
              <w:ind w:firstLine="0" w:firstLineChars="0"/>
              <w:jc w:val="center"/>
              <w:rPr>
                <w:rFonts w:ascii="仿宋" w:hAnsi="仿宋"/>
                <w:b/>
                <w:bCs/>
                <w:color w:val="auto"/>
                <w:kern w:val="0"/>
                <w:sz w:val="24"/>
                <w:szCs w:val="24"/>
              </w:rPr>
            </w:pPr>
            <w:r>
              <w:rPr>
                <w:rFonts w:hint="eastAsia" w:ascii="仿宋" w:hAnsi="仿宋"/>
                <w:b/>
                <w:bCs/>
                <w:color w:val="auto"/>
                <w:kern w:val="0"/>
                <w:sz w:val="24"/>
                <w:szCs w:val="24"/>
              </w:rPr>
              <w:t>完成时间</w:t>
            </w:r>
          </w:p>
        </w:tc>
        <w:tc>
          <w:tcPr>
            <w:tcW w:w="1770" w:type="dxa"/>
            <w:vAlign w:val="center"/>
          </w:tcPr>
          <w:p>
            <w:pPr>
              <w:spacing w:line="240" w:lineRule="auto"/>
              <w:ind w:firstLine="0" w:firstLineChars="0"/>
              <w:jc w:val="center"/>
              <w:rPr>
                <w:rFonts w:ascii="仿宋" w:hAnsi="仿宋"/>
                <w:b/>
                <w:bCs/>
                <w:color w:val="auto"/>
                <w:kern w:val="0"/>
                <w:sz w:val="24"/>
                <w:szCs w:val="24"/>
              </w:rPr>
            </w:pPr>
            <w:r>
              <w:rPr>
                <w:rFonts w:hint="eastAsia" w:ascii="仿宋" w:hAnsi="仿宋"/>
                <w:b/>
                <w:bCs/>
                <w:color w:val="auto"/>
                <w:kern w:val="0"/>
                <w:sz w:val="24"/>
                <w:szCs w:val="24"/>
              </w:rPr>
              <w:t>生态功能保护修复分区</w:t>
            </w:r>
          </w:p>
        </w:tc>
        <w:tc>
          <w:tcPr>
            <w:tcW w:w="1201" w:type="dxa"/>
            <w:vAlign w:val="center"/>
          </w:tcPr>
          <w:p>
            <w:pPr>
              <w:spacing w:line="240" w:lineRule="auto"/>
              <w:ind w:firstLine="0" w:firstLineChars="0"/>
              <w:jc w:val="center"/>
              <w:rPr>
                <w:rFonts w:ascii="仿宋" w:hAnsi="仿宋"/>
                <w:b/>
                <w:bCs/>
                <w:color w:val="auto"/>
                <w:kern w:val="0"/>
                <w:sz w:val="24"/>
                <w:szCs w:val="24"/>
              </w:rPr>
            </w:pPr>
            <w:r>
              <w:rPr>
                <w:rFonts w:hint="eastAsia" w:ascii="仿宋" w:hAnsi="仿宋"/>
                <w:b/>
                <w:bCs/>
                <w:color w:val="auto"/>
                <w:kern w:val="0"/>
                <w:sz w:val="24"/>
                <w:szCs w:val="24"/>
              </w:rPr>
              <w:t>生态功能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2021年</w:t>
            </w:r>
          </w:p>
        </w:tc>
        <w:tc>
          <w:tcPr>
            <w:tcW w:w="1560"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绥棱县生态保护和修复建设项目</w:t>
            </w:r>
          </w:p>
        </w:tc>
        <w:tc>
          <w:tcPr>
            <w:tcW w:w="1860"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双岔河镇、阁山镇、绥中乡、后头乡</w:t>
            </w:r>
          </w:p>
        </w:tc>
        <w:tc>
          <w:tcPr>
            <w:tcW w:w="3540"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人工造林310亩（按林种分： 农防林33.4亩、护路林139.4亩、护屯林14亩、用材林123.2亩；按树种分：阔叶树304.5亩，其中杨树303.5亩，水曲柳1亩；针叶树5.5亩，均为云杉）</w:t>
            </w:r>
          </w:p>
        </w:tc>
        <w:tc>
          <w:tcPr>
            <w:tcW w:w="1095"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37.21</w:t>
            </w:r>
          </w:p>
        </w:tc>
        <w:tc>
          <w:tcPr>
            <w:tcW w:w="1080"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2021年4月</w:t>
            </w:r>
          </w:p>
        </w:tc>
        <w:tc>
          <w:tcPr>
            <w:tcW w:w="1020"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2021年10月</w:t>
            </w:r>
          </w:p>
        </w:tc>
        <w:tc>
          <w:tcPr>
            <w:tcW w:w="1770"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努敏河-克音河土壤保持区</w:t>
            </w:r>
          </w:p>
        </w:tc>
        <w:tc>
          <w:tcPr>
            <w:tcW w:w="1201"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土壤保持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 w:type="dxa"/>
            <w:vMerge w:val="restart"/>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2022年</w:t>
            </w:r>
          </w:p>
        </w:tc>
        <w:tc>
          <w:tcPr>
            <w:tcW w:w="1560"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绥棱县克音河乡绥棱镇靠山乡双岔河镇克绥靠双项目区侵蚀沟综合治理工程</w:t>
            </w:r>
          </w:p>
        </w:tc>
        <w:tc>
          <w:tcPr>
            <w:tcW w:w="1860"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克音河乡、绥棱镇、靠山乡、双岔河镇</w:t>
            </w:r>
          </w:p>
        </w:tc>
        <w:tc>
          <w:tcPr>
            <w:tcW w:w="3540"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布设6处格宾石笼沟头防护，修建15座格宾石笼谷坊，谷坊坝体长176m，修建16座柳编谷坊，谷坊坝体长68m，格宾石笼护砌2500m长，修建5座方涵，修建1座过水路面，削坡607</w:t>
            </w:r>
          </w:p>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m³，插柳0.41hm</w:t>
            </w:r>
            <w:r>
              <w:rPr>
                <w:rFonts w:hint="eastAsia" w:ascii="仿宋" w:hAnsi="仿宋"/>
                <w:color w:val="auto"/>
                <w:kern w:val="0"/>
                <w:sz w:val="24"/>
                <w:szCs w:val="24"/>
                <w:vertAlign w:val="superscript"/>
              </w:rPr>
              <w:t>2</w:t>
            </w:r>
            <w:r>
              <w:rPr>
                <w:rFonts w:hint="eastAsia" w:ascii="仿宋" w:hAnsi="仿宋"/>
                <w:color w:val="auto"/>
                <w:kern w:val="0"/>
                <w:sz w:val="24"/>
                <w:szCs w:val="24"/>
              </w:rPr>
              <w:t>。</w:t>
            </w:r>
          </w:p>
        </w:tc>
        <w:tc>
          <w:tcPr>
            <w:tcW w:w="1095"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675</w:t>
            </w:r>
          </w:p>
        </w:tc>
        <w:tc>
          <w:tcPr>
            <w:tcW w:w="1080"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2021年10月</w:t>
            </w:r>
          </w:p>
        </w:tc>
        <w:tc>
          <w:tcPr>
            <w:tcW w:w="1020"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2022年8月</w:t>
            </w:r>
          </w:p>
        </w:tc>
        <w:tc>
          <w:tcPr>
            <w:tcW w:w="1770"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努敏河-克音河土壤保持区</w:t>
            </w:r>
          </w:p>
        </w:tc>
        <w:tc>
          <w:tcPr>
            <w:tcW w:w="1201"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土壤保持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 w:type="dxa"/>
            <w:vMerge w:val="continue"/>
            <w:vAlign w:val="center"/>
          </w:tcPr>
          <w:p>
            <w:pPr>
              <w:spacing w:line="240" w:lineRule="auto"/>
              <w:ind w:firstLine="0" w:firstLineChars="0"/>
              <w:jc w:val="center"/>
              <w:rPr>
                <w:rFonts w:ascii="仿宋" w:hAnsi="仿宋"/>
                <w:color w:val="auto"/>
                <w:kern w:val="0"/>
                <w:sz w:val="24"/>
                <w:szCs w:val="24"/>
              </w:rPr>
            </w:pPr>
          </w:p>
        </w:tc>
        <w:tc>
          <w:tcPr>
            <w:tcW w:w="1560"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绥棱县国土绿化建设项目</w:t>
            </w:r>
          </w:p>
        </w:tc>
        <w:tc>
          <w:tcPr>
            <w:tcW w:w="1860"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泥尔河乡、长山镇、靠山乡、阁山镇、克音河乡、绥中乡、后头乡</w:t>
            </w:r>
          </w:p>
        </w:tc>
        <w:tc>
          <w:tcPr>
            <w:tcW w:w="3540"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村屯绿化256亩（阔叶树110.8亩，主要是水曲柳、糖槭、紫叶稠李等；针叶树129.2亩，其中樟子松13.5亩、云杉115.7亩；灌木及经济树种16亩），均为村庄街道绿化</w:t>
            </w:r>
          </w:p>
        </w:tc>
        <w:tc>
          <w:tcPr>
            <w:tcW w:w="1095"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64.5</w:t>
            </w:r>
          </w:p>
        </w:tc>
        <w:tc>
          <w:tcPr>
            <w:tcW w:w="1080"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2022年4月</w:t>
            </w:r>
          </w:p>
        </w:tc>
        <w:tc>
          <w:tcPr>
            <w:tcW w:w="1020"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2022年10月</w:t>
            </w:r>
          </w:p>
        </w:tc>
        <w:tc>
          <w:tcPr>
            <w:tcW w:w="1770"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努敏河-克音河土壤保持区；努敏河—墨尔根河水源涵养和土壤保持生态保护修复区</w:t>
            </w:r>
          </w:p>
        </w:tc>
        <w:tc>
          <w:tcPr>
            <w:tcW w:w="1201"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水源涵养、土壤保持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 w:type="dxa"/>
            <w:vMerge w:val="restart"/>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2023年</w:t>
            </w:r>
          </w:p>
        </w:tc>
        <w:tc>
          <w:tcPr>
            <w:tcW w:w="1560"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2021年绥化市绥棱县高标准农田建设项目</w:t>
            </w:r>
          </w:p>
        </w:tc>
        <w:tc>
          <w:tcPr>
            <w:tcW w:w="1860"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泥尔河乡进军村、双丰村；克音河乡向荣村、九井村、十四井村；双岔河镇富民村；后头乡十五井村；长山镇良种场</w:t>
            </w:r>
          </w:p>
        </w:tc>
        <w:tc>
          <w:tcPr>
            <w:tcW w:w="3540"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排水沟清淤16.529km；新建渠系建筑物506座，机耕路（混凝土路面）50.75km，生产路（砂石路面）88.13km。沟头防护（格宾石笼、雷诺护垫）19座，沟道防护220m，谷坊43座。建晒场44780.93m</w:t>
            </w:r>
            <w:r>
              <w:rPr>
                <w:rFonts w:hint="eastAsia" w:ascii="仿宋" w:hAnsi="仿宋"/>
                <w:color w:val="auto"/>
                <w:kern w:val="0"/>
                <w:sz w:val="24"/>
                <w:szCs w:val="24"/>
                <w:vertAlign w:val="superscript"/>
              </w:rPr>
              <w:t>2</w:t>
            </w:r>
          </w:p>
        </w:tc>
        <w:tc>
          <w:tcPr>
            <w:tcW w:w="1095"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11412</w:t>
            </w:r>
          </w:p>
        </w:tc>
        <w:tc>
          <w:tcPr>
            <w:tcW w:w="1080"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2021年</w:t>
            </w:r>
          </w:p>
        </w:tc>
        <w:tc>
          <w:tcPr>
            <w:tcW w:w="1020"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2023年</w:t>
            </w:r>
            <w:r>
              <w:rPr>
                <w:rFonts w:hint="eastAsia" w:ascii="仿宋" w:hAnsi="仿宋"/>
                <w:color w:val="auto"/>
                <w:kern w:val="0"/>
                <w:sz w:val="24"/>
                <w:szCs w:val="24"/>
                <w:lang w:val="en-US" w:eastAsia="zh-CN"/>
              </w:rPr>
              <w:t>6</w:t>
            </w:r>
            <w:r>
              <w:rPr>
                <w:rFonts w:hint="eastAsia" w:ascii="仿宋" w:hAnsi="仿宋"/>
                <w:color w:val="auto"/>
                <w:kern w:val="0"/>
                <w:sz w:val="24"/>
                <w:szCs w:val="24"/>
              </w:rPr>
              <w:t>月</w:t>
            </w:r>
          </w:p>
        </w:tc>
        <w:tc>
          <w:tcPr>
            <w:tcW w:w="1770"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努敏河-克音河水源涵养区；努敏河—墨尔根河水源涵养和土壤保持生态保护修复区</w:t>
            </w:r>
          </w:p>
        </w:tc>
        <w:tc>
          <w:tcPr>
            <w:tcW w:w="1201"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水源涵养、土壤保持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 w:type="dxa"/>
            <w:vMerge w:val="continue"/>
            <w:vAlign w:val="center"/>
          </w:tcPr>
          <w:p>
            <w:pPr>
              <w:spacing w:line="240" w:lineRule="auto"/>
              <w:ind w:firstLine="0" w:firstLineChars="0"/>
              <w:jc w:val="center"/>
              <w:rPr>
                <w:rFonts w:ascii="仿宋" w:hAnsi="仿宋"/>
                <w:color w:val="auto"/>
                <w:kern w:val="0"/>
                <w:sz w:val="24"/>
                <w:szCs w:val="24"/>
              </w:rPr>
            </w:pPr>
          </w:p>
        </w:tc>
        <w:tc>
          <w:tcPr>
            <w:tcW w:w="1560"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绥棱县造林绿化建设项目</w:t>
            </w:r>
          </w:p>
        </w:tc>
        <w:tc>
          <w:tcPr>
            <w:tcW w:w="1860"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双岔河镇、阁山镇和后头乡</w:t>
            </w:r>
          </w:p>
        </w:tc>
        <w:tc>
          <w:tcPr>
            <w:tcW w:w="3540"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人工造林772亩</w:t>
            </w:r>
          </w:p>
        </w:tc>
        <w:tc>
          <w:tcPr>
            <w:tcW w:w="1095"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69.48</w:t>
            </w:r>
          </w:p>
        </w:tc>
        <w:tc>
          <w:tcPr>
            <w:tcW w:w="1080"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2023年4月</w:t>
            </w:r>
          </w:p>
        </w:tc>
        <w:tc>
          <w:tcPr>
            <w:tcW w:w="1020"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2023年10月</w:t>
            </w:r>
          </w:p>
        </w:tc>
        <w:tc>
          <w:tcPr>
            <w:tcW w:w="1770"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努敏河-克音河土壤保持区</w:t>
            </w:r>
          </w:p>
        </w:tc>
        <w:tc>
          <w:tcPr>
            <w:tcW w:w="1201"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土壤保持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 w:type="dxa"/>
            <w:vMerge w:val="continue"/>
            <w:vAlign w:val="center"/>
          </w:tcPr>
          <w:p>
            <w:pPr>
              <w:spacing w:line="240" w:lineRule="auto"/>
              <w:ind w:firstLine="0" w:firstLineChars="0"/>
              <w:jc w:val="center"/>
              <w:rPr>
                <w:rFonts w:ascii="仿宋" w:hAnsi="仿宋"/>
                <w:color w:val="auto"/>
                <w:kern w:val="0"/>
                <w:sz w:val="24"/>
                <w:szCs w:val="24"/>
              </w:rPr>
            </w:pPr>
          </w:p>
        </w:tc>
        <w:tc>
          <w:tcPr>
            <w:tcW w:w="1560"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绥棱县2022年省级补助资金侵蚀沟治理工程</w:t>
            </w:r>
          </w:p>
        </w:tc>
        <w:tc>
          <w:tcPr>
            <w:tcW w:w="1860"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双岔河镇、绥中乡、克音河乡、长山镇、阁山镇、靠山乡</w:t>
            </w:r>
          </w:p>
        </w:tc>
        <w:tc>
          <w:tcPr>
            <w:tcW w:w="3540"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削坡37077m³，布设25处格宾石笼沟头防护，9座柳编沟头防护，修建31座格宾石笼谷坊，谷坊坝体长382m，修建145座柳编谷坊，谷坊坝体长907m，修建格宾石笼护岸长780m，柳石护岸840m，插柳及栽植紫穗槐共181.63万株。</w:t>
            </w:r>
          </w:p>
        </w:tc>
        <w:tc>
          <w:tcPr>
            <w:tcW w:w="1095"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992</w:t>
            </w:r>
          </w:p>
        </w:tc>
        <w:tc>
          <w:tcPr>
            <w:tcW w:w="1080"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2022年8月</w:t>
            </w:r>
          </w:p>
        </w:tc>
        <w:tc>
          <w:tcPr>
            <w:tcW w:w="1020"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2023年10月</w:t>
            </w:r>
          </w:p>
        </w:tc>
        <w:tc>
          <w:tcPr>
            <w:tcW w:w="1770"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努敏河-克音河土壤保持区；努敏河—墨尔根河水源涵养和土壤保持生态保护修复区</w:t>
            </w:r>
          </w:p>
        </w:tc>
        <w:tc>
          <w:tcPr>
            <w:tcW w:w="1201"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水源涵养、土壤保持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 w:type="dxa"/>
            <w:vMerge w:val="continue"/>
            <w:vAlign w:val="center"/>
          </w:tcPr>
          <w:p>
            <w:pPr>
              <w:spacing w:line="240" w:lineRule="auto"/>
              <w:ind w:firstLine="0" w:firstLineChars="0"/>
              <w:jc w:val="center"/>
              <w:rPr>
                <w:rFonts w:ascii="仿宋" w:hAnsi="仿宋"/>
                <w:color w:val="auto"/>
                <w:kern w:val="0"/>
                <w:sz w:val="24"/>
                <w:szCs w:val="24"/>
              </w:rPr>
            </w:pPr>
          </w:p>
        </w:tc>
        <w:tc>
          <w:tcPr>
            <w:tcW w:w="1560"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绥棱县2022年地方政府一般债券资金侵蚀沟治理工程</w:t>
            </w:r>
          </w:p>
        </w:tc>
        <w:tc>
          <w:tcPr>
            <w:tcW w:w="1860"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泥尔河乡</w:t>
            </w:r>
          </w:p>
        </w:tc>
        <w:tc>
          <w:tcPr>
            <w:tcW w:w="3540"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削坡 20590m</w:t>
            </w:r>
            <w:r>
              <w:rPr>
                <w:rFonts w:hint="eastAsia" w:ascii="仿宋" w:hAnsi="仿宋"/>
                <w:color w:val="auto"/>
                <w:kern w:val="0"/>
                <w:sz w:val="24"/>
                <w:szCs w:val="24"/>
                <w:vertAlign w:val="superscript"/>
              </w:rPr>
              <w:t>3</w:t>
            </w:r>
            <w:r>
              <w:rPr>
                <w:rFonts w:hint="eastAsia" w:ascii="仿宋" w:hAnsi="仿宋"/>
                <w:color w:val="auto"/>
                <w:kern w:val="0"/>
                <w:sz w:val="24"/>
                <w:szCs w:val="24"/>
              </w:rPr>
              <w:t>，布设10处格宾石笼沟头防护，修建 31 座格宾石笼谷坊，谷坊坝体长 384m，修建32座柳编谷坊，谷坊坝体长 202m，格宾石笼护岸长 1060m，插柳及紫穗槐共69.34万株</w:t>
            </w:r>
          </w:p>
        </w:tc>
        <w:tc>
          <w:tcPr>
            <w:tcW w:w="1095"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638</w:t>
            </w:r>
          </w:p>
        </w:tc>
        <w:tc>
          <w:tcPr>
            <w:tcW w:w="1080"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2022年8月</w:t>
            </w:r>
          </w:p>
        </w:tc>
        <w:tc>
          <w:tcPr>
            <w:tcW w:w="1020"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2023年10月</w:t>
            </w:r>
          </w:p>
        </w:tc>
        <w:tc>
          <w:tcPr>
            <w:tcW w:w="1770"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努敏河—墨尔根河水源涵养和土壤保持生态保护修复区</w:t>
            </w:r>
          </w:p>
        </w:tc>
        <w:tc>
          <w:tcPr>
            <w:tcW w:w="1201"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水源涵养、土壤保持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 w:type="dxa"/>
            <w:vMerge w:val="restart"/>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2024年</w:t>
            </w:r>
          </w:p>
        </w:tc>
        <w:tc>
          <w:tcPr>
            <w:tcW w:w="1560"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绥棱县中央水利发展资金项目侵蚀沟治理工程项目2023年</w:t>
            </w:r>
          </w:p>
        </w:tc>
        <w:tc>
          <w:tcPr>
            <w:tcW w:w="1860"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靠山乡、后头乡</w:t>
            </w:r>
          </w:p>
        </w:tc>
        <w:tc>
          <w:tcPr>
            <w:tcW w:w="3540"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削坡 22173m</w:t>
            </w:r>
            <w:r>
              <w:rPr>
                <w:rFonts w:hint="eastAsia" w:ascii="仿宋" w:hAnsi="仿宋"/>
                <w:color w:val="auto"/>
                <w:kern w:val="0"/>
                <w:sz w:val="24"/>
                <w:szCs w:val="24"/>
                <w:vertAlign w:val="superscript"/>
              </w:rPr>
              <w:t>3</w:t>
            </w:r>
            <w:r>
              <w:rPr>
                <w:rFonts w:hint="eastAsia" w:ascii="仿宋" w:hAnsi="仿宋"/>
                <w:color w:val="auto"/>
                <w:kern w:val="0"/>
                <w:sz w:val="24"/>
                <w:szCs w:val="24"/>
              </w:rPr>
              <w:t>，布设 22 座格宾石笼沟头防护，17座柳编沟头防护，修建 34 座格宾石笼谷坊，谷坊坝体长 414m，修建 68座柳编谷坊，谷坊坝体长 550m，修建格宾石笼护岸长6215m，柳石护岸长 2000m，蜂格护岸 9824 m</w:t>
            </w:r>
            <w:r>
              <w:rPr>
                <w:rFonts w:hint="eastAsia" w:ascii="仿宋" w:hAnsi="仿宋"/>
                <w:color w:val="auto"/>
                <w:kern w:val="0"/>
                <w:sz w:val="24"/>
                <w:szCs w:val="24"/>
                <w:vertAlign w:val="superscript"/>
              </w:rPr>
              <w:t>2</w:t>
            </w:r>
            <w:r>
              <w:rPr>
                <w:rFonts w:hint="eastAsia" w:ascii="仿宋" w:hAnsi="仿宋"/>
                <w:color w:val="auto"/>
                <w:kern w:val="0"/>
                <w:sz w:val="24"/>
                <w:szCs w:val="24"/>
              </w:rPr>
              <w:t>，栽植柳条15.72 万株，新建涵洞2座。</w:t>
            </w:r>
          </w:p>
        </w:tc>
        <w:tc>
          <w:tcPr>
            <w:tcW w:w="1095"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1947</w:t>
            </w:r>
          </w:p>
        </w:tc>
        <w:tc>
          <w:tcPr>
            <w:tcW w:w="1080"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2023年3月</w:t>
            </w:r>
          </w:p>
        </w:tc>
        <w:tc>
          <w:tcPr>
            <w:tcW w:w="1020"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2024年10月</w:t>
            </w:r>
          </w:p>
        </w:tc>
        <w:tc>
          <w:tcPr>
            <w:tcW w:w="1770"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努敏河-克音河土壤保持区</w:t>
            </w:r>
          </w:p>
        </w:tc>
        <w:tc>
          <w:tcPr>
            <w:tcW w:w="1201" w:type="dxa"/>
            <w:vAlign w:val="center"/>
          </w:tcPr>
          <w:p>
            <w:pPr>
              <w:spacing w:line="240" w:lineRule="auto"/>
              <w:ind w:firstLine="0" w:firstLineChars="0"/>
              <w:jc w:val="center"/>
              <w:rPr>
                <w:color w:val="auto"/>
              </w:rPr>
            </w:pPr>
            <w:r>
              <w:rPr>
                <w:rFonts w:hint="eastAsia" w:ascii="仿宋" w:hAnsi="仿宋"/>
                <w:color w:val="auto"/>
                <w:kern w:val="0"/>
                <w:sz w:val="24"/>
                <w:szCs w:val="24"/>
              </w:rPr>
              <w:t>土壤保持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 w:type="dxa"/>
            <w:vMerge w:val="continue"/>
            <w:vAlign w:val="center"/>
          </w:tcPr>
          <w:p>
            <w:pPr>
              <w:spacing w:line="240" w:lineRule="auto"/>
              <w:ind w:firstLine="0" w:firstLineChars="0"/>
              <w:jc w:val="center"/>
              <w:rPr>
                <w:rFonts w:ascii="仿宋" w:hAnsi="仿宋"/>
                <w:color w:val="auto"/>
                <w:kern w:val="0"/>
                <w:sz w:val="24"/>
                <w:szCs w:val="24"/>
              </w:rPr>
            </w:pPr>
          </w:p>
        </w:tc>
        <w:tc>
          <w:tcPr>
            <w:tcW w:w="1560" w:type="dxa"/>
            <w:vAlign w:val="center"/>
          </w:tcPr>
          <w:p>
            <w:pPr>
              <w:spacing w:line="240" w:lineRule="auto"/>
              <w:ind w:firstLine="0" w:firstLineChars="0"/>
              <w:jc w:val="center"/>
              <w:rPr>
                <w:rFonts w:hint="eastAsia" w:ascii="仿宋" w:hAnsi="仿宋"/>
                <w:color w:val="auto"/>
                <w:kern w:val="0"/>
                <w:sz w:val="24"/>
                <w:szCs w:val="24"/>
              </w:rPr>
            </w:pPr>
            <w:r>
              <w:rPr>
                <w:rFonts w:hint="eastAsia" w:ascii="仿宋" w:hAnsi="仿宋"/>
                <w:color w:val="auto"/>
                <w:kern w:val="0"/>
                <w:sz w:val="24"/>
                <w:szCs w:val="24"/>
              </w:rPr>
              <w:t>雨污分流管网建设</w:t>
            </w:r>
          </w:p>
        </w:tc>
        <w:tc>
          <w:tcPr>
            <w:tcW w:w="1860" w:type="dxa"/>
            <w:vAlign w:val="center"/>
          </w:tcPr>
          <w:p>
            <w:pPr>
              <w:spacing w:line="240" w:lineRule="auto"/>
              <w:ind w:firstLine="0" w:firstLineChars="0"/>
              <w:jc w:val="center"/>
              <w:rPr>
                <w:rFonts w:hint="eastAsia" w:ascii="仿宋" w:hAnsi="仿宋"/>
                <w:color w:val="auto"/>
                <w:kern w:val="0"/>
                <w:sz w:val="24"/>
                <w:szCs w:val="24"/>
              </w:rPr>
            </w:pPr>
            <w:r>
              <w:rPr>
                <w:rFonts w:hint="eastAsia" w:ascii="仿宋" w:hAnsi="仿宋"/>
                <w:color w:val="auto"/>
                <w:kern w:val="0"/>
                <w:sz w:val="24"/>
                <w:szCs w:val="24"/>
              </w:rPr>
              <w:t>绥棱县绥棱镇城区内</w:t>
            </w:r>
          </w:p>
        </w:tc>
        <w:tc>
          <w:tcPr>
            <w:tcW w:w="3540" w:type="dxa"/>
            <w:vAlign w:val="center"/>
          </w:tcPr>
          <w:p>
            <w:pPr>
              <w:spacing w:line="240" w:lineRule="auto"/>
              <w:ind w:firstLine="0" w:firstLineChars="0"/>
              <w:jc w:val="center"/>
              <w:rPr>
                <w:rFonts w:hint="eastAsia" w:ascii="仿宋" w:hAnsi="仿宋"/>
                <w:color w:val="auto"/>
                <w:kern w:val="0"/>
                <w:sz w:val="24"/>
                <w:szCs w:val="24"/>
              </w:rPr>
            </w:pPr>
            <w:r>
              <w:rPr>
                <w:rFonts w:hint="eastAsia" w:ascii="仿宋" w:hAnsi="仿宋"/>
                <w:color w:val="auto"/>
                <w:kern w:val="0"/>
                <w:sz w:val="24"/>
                <w:szCs w:val="24"/>
              </w:rPr>
              <w:t>项目新建排水管道24160米，其中DN1000-DN1200的HDPE污水管道3095米DN600-DN2000的钢筋混凝土雨水管道21065米，将铁东路，创业路，鸡讷公路和西一路等河流管线6916米改造为污水管道。</w:t>
            </w:r>
          </w:p>
        </w:tc>
        <w:tc>
          <w:tcPr>
            <w:tcW w:w="1095" w:type="dxa"/>
            <w:vAlign w:val="center"/>
          </w:tcPr>
          <w:p>
            <w:pPr>
              <w:spacing w:line="240" w:lineRule="auto"/>
              <w:ind w:firstLine="0" w:firstLineChars="0"/>
              <w:jc w:val="center"/>
              <w:rPr>
                <w:rFonts w:hint="eastAsia" w:ascii="仿宋" w:hAnsi="仿宋"/>
                <w:color w:val="auto"/>
                <w:kern w:val="0"/>
                <w:sz w:val="24"/>
                <w:szCs w:val="24"/>
              </w:rPr>
            </w:pPr>
            <w:r>
              <w:rPr>
                <w:rFonts w:hint="eastAsia" w:ascii="仿宋" w:hAnsi="仿宋"/>
                <w:color w:val="auto"/>
                <w:kern w:val="0"/>
                <w:sz w:val="24"/>
                <w:szCs w:val="24"/>
              </w:rPr>
              <w:t>13826</w:t>
            </w:r>
          </w:p>
        </w:tc>
        <w:tc>
          <w:tcPr>
            <w:tcW w:w="1080" w:type="dxa"/>
            <w:vAlign w:val="center"/>
          </w:tcPr>
          <w:p>
            <w:pPr>
              <w:spacing w:line="240" w:lineRule="auto"/>
              <w:ind w:firstLine="0" w:firstLineChars="0"/>
              <w:jc w:val="center"/>
              <w:rPr>
                <w:rFonts w:hint="eastAsia" w:ascii="仿宋" w:hAnsi="仿宋"/>
                <w:color w:val="auto"/>
                <w:kern w:val="0"/>
                <w:sz w:val="24"/>
                <w:szCs w:val="24"/>
              </w:rPr>
            </w:pPr>
            <w:r>
              <w:rPr>
                <w:rFonts w:hint="eastAsia" w:ascii="仿宋" w:hAnsi="仿宋"/>
                <w:color w:val="auto"/>
                <w:kern w:val="0"/>
                <w:sz w:val="24"/>
                <w:szCs w:val="24"/>
              </w:rPr>
              <w:t>2022年10月</w:t>
            </w:r>
          </w:p>
        </w:tc>
        <w:tc>
          <w:tcPr>
            <w:tcW w:w="1020" w:type="dxa"/>
            <w:vAlign w:val="center"/>
          </w:tcPr>
          <w:p>
            <w:pPr>
              <w:spacing w:line="240" w:lineRule="auto"/>
              <w:ind w:firstLine="0" w:firstLineChars="0"/>
              <w:jc w:val="center"/>
              <w:rPr>
                <w:rFonts w:hint="eastAsia" w:ascii="仿宋" w:hAnsi="仿宋"/>
                <w:color w:val="auto"/>
                <w:kern w:val="0"/>
                <w:sz w:val="24"/>
                <w:szCs w:val="24"/>
              </w:rPr>
            </w:pPr>
            <w:r>
              <w:rPr>
                <w:rFonts w:hint="eastAsia" w:ascii="仿宋" w:hAnsi="仿宋"/>
                <w:color w:val="auto"/>
                <w:kern w:val="0"/>
                <w:sz w:val="24"/>
                <w:szCs w:val="24"/>
              </w:rPr>
              <w:t>202</w:t>
            </w:r>
            <w:r>
              <w:rPr>
                <w:rFonts w:hint="eastAsia" w:ascii="仿宋" w:hAnsi="仿宋"/>
                <w:color w:val="auto"/>
                <w:kern w:val="0"/>
                <w:sz w:val="24"/>
                <w:szCs w:val="24"/>
                <w:lang w:val="en-US" w:eastAsia="zh-CN"/>
              </w:rPr>
              <w:t>4</w:t>
            </w:r>
            <w:r>
              <w:rPr>
                <w:rFonts w:hint="eastAsia" w:ascii="仿宋" w:hAnsi="仿宋"/>
                <w:color w:val="auto"/>
                <w:kern w:val="0"/>
                <w:sz w:val="24"/>
                <w:szCs w:val="24"/>
              </w:rPr>
              <w:t>年</w:t>
            </w:r>
            <w:r>
              <w:rPr>
                <w:rFonts w:hint="eastAsia" w:ascii="仿宋" w:hAnsi="仿宋"/>
                <w:color w:val="auto"/>
                <w:kern w:val="0"/>
                <w:sz w:val="24"/>
                <w:szCs w:val="24"/>
                <w:lang w:val="en-US" w:eastAsia="zh-CN"/>
              </w:rPr>
              <w:t>6</w:t>
            </w:r>
            <w:r>
              <w:rPr>
                <w:rFonts w:hint="eastAsia" w:ascii="仿宋" w:hAnsi="仿宋"/>
                <w:color w:val="auto"/>
                <w:kern w:val="0"/>
                <w:sz w:val="24"/>
                <w:szCs w:val="24"/>
              </w:rPr>
              <w:t>月</w:t>
            </w:r>
          </w:p>
        </w:tc>
        <w:tc>
          <w:tcPr>
            <w:tcW w:w="1770" w:type="dxa"/>
            <w:vAlign w:val="center"/>
          </w:tcPr>
          <w:p>
            <w:pPr>
              <w:spacing w:line="240" w:lineRule="auto"/>
              <w:ind w:firstLine="0" w:firstLineChars="0"/>
              <w:jc w:val="center"/>
              <w:rPr>
                <w:rFonts w:hint="eastAsia" w:ascii="仿宋" w:hAnsi="仿宋"/>
                <w:color w:val="auto"/>
                <w:kern w:val="0"/>
                <w:sz w:val="24"/>
                <w:szCs w:val="24"/>
              </w:rPr>
            </w:pPr>
            <w:r>
              <w:rPr>
                <w:rFonts w:hint="eastAsia" w:ascii="仿宋" w:hAnsi="仿宋"/>
                <w:color w:val="auto"/>
                <w:kern w:val="0"/>
                <w:sz w:val="24"/>
                <w:szCs w:val="24"/>
              </w:rPr>
              <w:t>努敏河-克音河土壤保持区</w:t>
            </w:r>
          </w:p>
        </w:tc>
        <w:tc>
          <w:tcPr>
            <w:tcW w:w="1201" w:type="dxa"/>
            <w:vAlign w:val="center"/>
          </w:tcPr>
          <w:p>
            <w:pPr>
              <w:spacing w:line="240" w:lineRule="auto"/>
              <w:ind w:firstLine="0" w:firstLineChars="0"/>
              <w:jc w:val="center"/>
              <w:rPr>
                <w:rFonts w:hint="eastAsia" w:ascii="仿宋" w:hAnsi="仿宋"/>
                <w:color w:val="auto"/>
                <w:kern w:val="0"/>
                <w:sz w:val="24"/>
                <w:szCs w:val="24"/>
              </w:rPr>
            </w:pPr>
            <w:r>
              <w:rPr>
                <w:rFonts w:hint="eastAsia" w:ascii="仿宋" w:hAnsi="仿宋"/>
                <w:color w:val="auto"/>
                <w:kern w:val="0"/>
                <w:sz w:val="24"/>
                <w:szCs w:val="24"/>
              </w:rPr>
              <w:t>土壤保持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 w:type="dxa"/>
            <w:vMerge w:val="continue"/>
            <w:vAlign w:val="center"/>
          </w:tcPr>
          <w:p>
            <w:pPr>
              <w:spacing w:line="240" w:lineRule="auto"/>
              <w:ind w:firstLine="0" w:firstLineChars="0"/>
              <w:jc w:val="center"/>
              <w:rPr>
                <w:rFonts w:ascii="仿宋" w:hAnsi="仿宋"/>
                <w:color w:val="auto"/>
                <w:kern w:val="0"/>
                <w:sz w:val="24"/>
                <w:szCs w:val="24"/>
              </w:rPr>
            </w:pPr>
          </w:p>
        </w:tc>
        <w:tc>
          <w:tcPr>
            <w:tcW w:w="1560"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绥棱县造林绿化建设项目</w:t>
            </w:r>
          </w:p>
        </w:tc>
        <w:tc>
          <w:tcPr>
            <w:tcW w:w="1860"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双岔河镇、阁山镇</w:t>
            </w:r>
          </w:p>
        </w:tc>
        <w:tc>
          <w:tcPr>
            <w:tcW w:w="3540"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人工造林229.7亩</w:t>
            </w:r>
          </w:p>
        </w:tc>
        <w:tc>
          <w:tcPr>
            <w:tcW w:w="1095"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20.67</w:t>
            </w:r>
          </w:p>
        </w:tc>
        <w:tc>
          <w:tcPr>
            <w:tcW w:w="1080"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202</w:t>
            </w:r>
            <w:r>
              <w:rPr>
                <w:rFonts w:hint="eastAsia" w:ascii="仿宋" w:hAnsi="仿宋"/>
                <w:color w:val="auto"/>
                <w:kern w:val="0"/>
                <w:sz w:val="24"/>
                <w:szCs w:val="24"/>
                <w:lang w:val="en-US" w:eastAsia="zh-CN"/>
              </w:rPr>
              <w:t>4</w:t>
            </w:r>
            <w:r>
              <w:rPr>
                <w:rFonts w:hint="eastAsia" w:ascii="仿宋" w:hAnsi="仿宋"/>
                <w:color w:val="auto"/>
                <w:kern w:val="0"/>
                <w:sz w:val="24"/>
                <w:szCs w:val="24"/>
              </w:rPr>
              <w:t>年4月</w:t>
            </w:r>
          </w:p>
        </w:tc>
        <w:tc>
          <w:tcPr>
            <w:tcW w:w="1020" w:type="dxa"/>
            <w:vAlign w:val="center"/>
          </w:tcPr>
          <w:p>
            <w:pPr>
              <w:spacing w:line="240" w:lineRule="auto"/>
              <w:ind w:firstLine="0" w:firstLineChars="0"/>
              <w:jc w:val="center"/>
              <w:rPr>
                <w:rFonts w:ascii="仿宋" w:hAnsi="仿宋"/>
                <w:color w:val="auto"/>
                <w:kern w:val="0"/>
                <w:sz w:val="24"/>
                <w:szCs w:val="24"/>
                <w:highlight w:val="yellow"/>
              </w:rPr>
            </w:pPr>
            <w:r>
              <w:rPr>
                <w:rFonts w:hint="eastAsia" w:ascii="仿宋" w:hAnsi="仿宋"/>
                <w:color w:val="auto"/>
                <w:kern w:val="0"/>
                <w:sz w:val="24"/>
                <w:szCs w:val="24"/>
              </w:rPr>
              <w:t>202</w:t>
            </w:r>
            <w:r>
              <w:rPr>
                <w:rFonts w:hint="eastAsia" w:ascii="仿宋" w:hAnsi="仿宋"/>
                <w:color w:val="auto"/>
                <w:kern w:val="0"/>
                <w:sz w:val="24"/>
                <w:szCs w:val="24"/>
                <w:lang w:val="en-US" w:eastAsia="zh-CN"/>
              </w:rPr>
              <w:t>4</w:t>
            </w:r>
            <w:r>
              <w:rPr>
                <w:rFonts w:hint="eastAsia" w:ascii="仿宋" w:hAnsi="仿宋"/>
                <w:color w:val="auto"/>
                <w:kern w:val="0"/>
                <w:sz w:val="24"/>
                <w:szCs w:val="24"/>
              </w:rPr>
              <w:t>年10月</w:t>
            </w:r>
          </w:p>
        </w:tc>
        <w:tc>
          <w:tcPr>
            <w:tcW w:w="1770"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努敏河-克音河土壤保持区</w:t>
            </w:r>
          </w:p>
        </w:tc>
        <w:tc>
          <w:tcPr>
            <w:tcW w:w="1201"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土壤保持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 w:type="dxa"/>
            <w:vMerge w:val="continue"/>
            <w:vAlign w:val="center"/>
          </w:tcPr>
          <w:p>
            <w:pPr>
              <w:spacing w:line="240" w:lineRule="auto"/>
              <w:ind w:firstLine="0" w:firstLineChars="0"/>
              <w:jc w:val="center"/>
              <w:rPr>
                <w:rFonts w:ascii="仿宋" w:hAnsi="仿宋"/>
                <w:color w:val="auto"/>
                <w:kern w:val="0"/>
                <w:sz w:val="24"/>
                <w:szCs w:val="24"/>
              </w:rPr>
            </w:pPr>
          </w:p>
        </w:tc>
        <w:tc>
          <w:tcPr>
            <w:tcW w:w="1560"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北大荒集团黑龙江绥棱农场有限公司2023年雨污分离建设项目</w:t>
            </w:r>
          </w:p>
        </w:tc>
        <w:tc>
          <w:tcPr>
            <w:tcW w:w="1860"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绥棱农场场区</w:t>
            </w:r>
          </w:p>
        </w:tc>
        <w:tc>
          <w:tcPr>
            <w:tcW w:w="3540"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铺设雨水管道(钢带增强聚乙烯 HDPE)长22582m；沥青路面、水泥路及人行道板破坏及恢复2567.24㎡；新建雨水口60座；新建雨水检查井 48 座，八字出水口2座；雨水、污水分离处各</w:t>
            </w:r>
            <w:r>
              <w:rPr>
                <w:rFonts w:hint="eastAsia" w:ascii="仿宋" w:hAnsi="仿宋"/>
                <w:color w:val="auto"/>
                <w:kern w:val="0"/>
                <w:sz w:val="24"/>
                <w:szCs w:val="24"/>
                <w:lang w:eastAsia="zh-CN"/>
              </w:rPr>
              <w:t>衔接</w:t>
            </w:r>
            <w:r>
              <w:rPr>
                <w:rFonts w:hint="eastAsia" w:ascii="仿宋" w:hAnsi="仿宋"/>
                <w:color w:val="auto"/>
                <w:kern w:val="0"/>
                <w:sz w:val="24"/>
                <w:szCs w:val="24"/>
              </w:rPr>
              <w:t>处接口:拆除、连接、清理、原有雨水井填埋 30 处。</w:t>
            </w:r>
          </w:p>
        </w:tc>
        <w:tc>
          <w:tcPr>
            <w:tcW w:w="1095"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308</w:t>
            </w:r>
          </w:p>
        </w:tc>
        <w:tc>
          <w:tcPr>
            <w:tcW w:w="1080"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2023年</w:t>
            </w:r>
          </w:p>
        </w:tc>
        <w:tc>
          <w:tcPr>
            <w:tcW w:w="1020"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2024年</w:t>
            </w:r>
          </w:p>
        </w:tc>
        <w:tc>
          <w:tcPr>
            <w:tcW w:w="1770"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努敏河-克音河土壤保持区</w:t>
            </w:r>
          </w:p>
        </w:tc>
        <w:tc>
          <w:tcPr>
            <w:tcW w:w="1201"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土壤保持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 w:type="dxa"/>
            <w:vMerge w:val="restart"/>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2025年</w:t>
            </w:r>
          </w:p>
        </w:tc>
        <w:tc>
          <w:tcPr>
            <w:tcW w:w="1560"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绥棱县造林绿化建设项目</w:t>
            </w:r>
          </w:p>
        </w:tc>
        <w:tc>
          <w:tcPr>
            <w:tcW w:w="1860" w:type="dxa"/>
            <w:vAlign w:val="center"/>
          </w:tcPr>
          <w:p>
            <w:pPr>
              <w:spacing w:line="240" w:lineRule="auto"/>
              <w:ind w:firstLine="0" w:firstLineChars="0"/>
              <w:jc w:val="center"/>
              <w:rPr>
                <w:rFonts w:ascii="仿宋" w:hAnsi="仿宋"/>
                <w:color w:val="auto"/>
                <w:kern w:val="0"/>
                <w:sz w:val="24"/>
                <w:szCs w:val="24"/>
                <w:highlight w:val="none"/>
              </w:rPr>
            </w:pPr>
            <w:r>
              <w:rPr>
                <w:rFonts w:hint="eastAsia" w:ascii="仿宋" w:hAnsi="仿宋"/>
                <w:color w:val="auto"/>
                <w:kern w:val="0"/>
                <w:sz w:val="24"/>
                <w:szCs w:val="24"/>
                <w:highlight w:val="none"/>
              </w:rPr>
              <w:t>双岔河镇</w:t>
            </w:r>
          </w:p>
        </w:tc>
        <w:tc>
          <w:tcPr>
            <w:tcW w:w="3540" w:type="dxa"/>
            <w:vAlign w:val="center"/>
          </w:tcPr>
          <w:p>
            <w:pPr>
              <w:spacing w:line="240" w:lineRule="auto"/>
              <w:ind w:firstLine="0" w:firstLineChars="0"/>
              <w:jc w:val="center"/>
              <w:rPr>
                <w:rFonts w:ascii="仿宋" w:hAnsi="仿宋"/>
                <w:color w:val="auto"/>
                <w:kern w:val="0"/>
                <w:sz w:val="24"/>
                <w:szCs w:val="24"/>
                <w:highlight w:val="none"/>
              </w:rPr>
            </w:pPr>
            <w:r>
              <w:rPr>
                <w:rFonts w:hint="eastAsia" w:ascii="仿宋" w:hAnsi="仿宋"/>
                <w:color w:val="auto"/>
                <w:kern w:val="0"/>
                <w:sz w:val="24"/>
                <w:szCs w:val="24"/>
                <w:highlight w:val="none"/>
              </w:rPr>
              <w:t>人工造林39.5亩</w:t>
            </w:r>
          </w:p>
        </w:tc>
        <w:tc>
          <w:tcPr>
            <w:tcW w:w="1095"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3.56</w:t>
            </w:r>
          </w:p>
        </w:tc>
        <w:tc>
          <w:tcPr>
            <w:tcW w:w="1080"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2025年4月</w:t>
            </w:r>
          </w:p>
        </w:tc>
        <w:tc>
          <w:tcPr>
            <w:tcW w:w="1020"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2025年10月</w:t>
            </w:r>
          </w:p>
        </w:tc>
        <w:tc>
          <w:tcPr>
            <w:tcW w:w="1770"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努敏河-克音河土壤保持区</w:t>
            </w:r>
          </w:p>
        </w:tc>
        <w:tc>
          <w:tcPr>
            <w:tcW w:w="1201"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土壤保持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 w:type="dxa"/>
            <w:vMerge w:val="continue"/>
            <w:vAlign w:val="center"/>
          </w:tcPr>
          <w:p>
            <w:pPr>
              <w:spacing w:line="240" w:lineRule="auto"/>
              <w:ind w:firstLine="0" w:firstLineChars="0"/>
              <w:jc w:val="center"/>
              <w:rPr>
                <w:rFonts w:ascii="仿宋" w:hAnsi="仿宋"/>
                <w:color w:val="auto"/>
                <w:kern w:val="0"/>
                <w:sz w:val="24"/>
                <w:szCs w:val="24"/>
              </w:rPr>
            </w:pPr>
          </w:p>
        </w:tc>
        <w:tc>
          <w:tcPr>
            <w:tcW w:w="1560"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绥棱县省级补助资金侵蚀沟治理工程</w:t>
            </w:r>
          </w:p>
        </w:tc>
        <w:tc>
          <w:tcPr>
            <w:tcW w:w="1860" w:type="dxa"/>
            <w:vAlign w:val="center"/>
          </w:tcPr>
          <w:p>
            <w:pPr>
              <w:spacing w:line="240" w:lineRule="auto"/>
              <w:ind w:firstLine="0" w:firstLineChars="0"/>
              <w:jc w:val="center"/>
              <w:rPr>
                <w:rFonts w:ascii="仿宋" w:hAnsi="仿宋"/>
                <w:color w:val="auto"/>
                <w:kern w:val="0"/>
                <w:sz w:val="24"/>
                <w:szCs w:val="24"/>
                <w:highlight w:val="none"/>
              </w:rPr>
            </w:pPr>
            <w:r>
              <w:rPr>
                <w:rFonts w:hint="eastAsia" w:ascii="仿宋" w:hAnsi="仿宋"/>
                <w:color w:val="auto"/>
                <w:kern w:val="0"/>
                <w:sz w:val="24"/>
                <w:szCs w:val="24"/>
                <w:highlight w:val="none"/>
              </w:rPr>
              <w:t>双岔河镇、绥中乡、克音河乡、长山镇、阁山镇、靠山乡、泥尔河乡</w:t>
            </w:r>
          </w:p>
        </w:tc>
        <w:tc>
          <w:tcPr>
            <w:tcW w:w="3540" w:type="dxa"/>
            <w:vAlign w:val="center"/>
          </w:tcPr>
          <w:p>
            <w:pPr>
              <w:spacing w:line="240" w:lineRule="auto"/>
              <w:ind w:firstLine="0" w:firstLineChars="0"/>
              <w:jc w:val="center"/>
              <w:rPr>
                <w:rFonts w:ascii="仿宋" w:hAnsi="仿宋"/>
                <w:color w:val="auto"/>
                <w:kern w:val="0"/>
                <w:sz w:val="24"/>
                <w:szCs w:val="24"/>
                <w:highlight w:val="none"/>
              </w:rPr>
            </w:pPr>
            <w:r>
              <w:rPr>
                <w:rFonts w:hint="eastAsia" w:ascii="仿宋" w:hAnsi="仿宋"/>
                <w:color w:val="auto"/>
                <w:kern w:val="0"/>
                <w:sz w:val="24"/>
                <w:szCs w:val="24"/>
                <w:highlight w:val="none"/>
              </w:rPr>
              <w:t>布设66座格宾石笼沟头防护，109座柳编沟头防护，修建86座格宾石笼谷坊，谷坊坝体长1196m，修建180座柳编谷坊，谷坊坝体长1567m，修建格宾石笼护岸长8110m，柳石护岸长7920m，栽植柳条71.68万株</w:t>
            </w:r>
          </w:p>
        </w:tc>
        <w:tc>
          <w:tcPr>
            <w:tcW w:w="1095"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3814</w:t>
            </w:r>
          </w:p>
        </w:tc>
        <w:tc>
          <w:tcPr>
            <w:tcW w:w="1080"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2024年3月</w:t>
            </w:r>
          </w:p>
        </w:tc>
        <w:tc>
          <w:tcPr>
            <w:tcW w:w="1020"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2025年10月</w:t>
            </w:r>
          </w:p>
        </w:tc>
        <w:tc>
          <w:tcPr>
            <w:tcW w:w="1770"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努敏河-克音河土壤保持区；努敏河—墨尔根河水源涵养和土壤保持生态保护修复区</w:t>
            </w:r>
          </w:p>
        </w:tc>
        <w:tc>
          <w:tcPr>
            <w:tcW w:w="1201"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水源涵养、土壤保持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 w:type="dxa"/>
            <w:vMerge w:val="continue"/>
            <w:vAlign w:val="center"/>
          </w:tcPr>
          <w:p>
            <w:pPr>
              <w:spacing w:line="240" w:lineRule="auto"/>
              <w:ind w:firstLine="0" w:firstLineChars="0"/>
              <w:jc w:val="center"/>
              <w:rPr>
                <w:rFonts w:ascii="仿宋" w:hAnsi="仿宋"/>
                <w:color w:val="auto"/>
                <w:kern w:val="0"/>
                <w:sz w:val="24"/>
                <w:szCs w:val="24"/>
              </w:rPr>
            </w:pPr>
          </w:p>
        </w:tc>
        <w:tc>
          <w:tcPr>
            <w:tcW w:w="1560"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绥棱县省级补助资金侵蚀沟治理工程（2024年）</w:t>
            </w:r>
          </w:p>
        </w:tc>
        <w:tc>
          <w:tcPr>
            <w:tcW w:w="1860" w:type="dxa"/>
            <w:vAlign w:val="center"/>
          </w:tcPr>
          <w:p>
            <w:pPr>
              <w:spacing w:line="240" w:lineRule="auto"/>
              <w:ind w:firstLine="0" w:firstLineChars="0"/>
              <w:jc w:val="center"/>
              <w:rPr>
                <w:rFonts w:ascii="仿宋" w:hAnsi="仿宋"/>
                <w:color w:val="auto"/>
                <w:kern w:val="0"/>
                <w:sz w:val="24"/>
                <w:szCs w:val="24"/>
                <w:highlight w:val="none"/>
              </w:rPr>
            </w:pPr>
            <w:r>
              <w:rPr>
                <w:rFonts w:hint="eastAsia" w:ascii="仿宋" w:hAnsi="仿宋"/>
                <w:color w:val="auto"/>
                <w:kern w:val="0"/>
                <w:sz w:val="24"/>
                <w:szCs w:val="24"/>
                <w:highlight w:val="none"/>
              </w:rPr>
              <w:t>靠山乡、四海店镇、绥中乡、阁山镇、双岔河镇、克音河乡、后头乡</w:t>
            </w:r>
          </w:p>
        </w:tc>
        <w:tc>
          <w:tcPr>
            <w:tcW w:w="3540" w:type="dxa"/>
            <w:vAlign w:val="center"/>
          </w:tcPr>
          <w:p>
            <w:pPr>
              <w:spacing w:line="240" w:lineRule="auto"/>
              <w:ind w:firstLine="0" w:firstLineChars="0"/>
              <w:jc w:val="center"/>
              <w:rPr>
                <w:rFonts w:ascii="仿宋" w:hAnsi="仿宋"/>
                <w:color w:val="auto"/>
                <w:kern w:val="0"/>
                <w:sz w:val="24"/>
                <w:szCs w:val="24"/>
                <w:highlight w:val="none"/>
              </w:rPr>
            </w:pPr>
            <w:r>
              <w:rPr>
                <w:rFonts w:hint="eastAsia" w:ascii="仿宋" w:hAnsi="仿宋"/>
                <w:color w:val="auto"/>
                <w:kern w:val="0"/>
                <w:sz w:val="24"/>
                <w:szCs w:val="24"/>
                <w:highlight w:val="none"/>
              </w:rPr>
              <w:t>综合治理侵蚀沟62条(其中大型沟29条，中型沟27条，小型沟6条），沟道总长33.294km，沟壑面积60.31hm</w:t>
            </w:r>
            <w:r>
              <w:rPr>
                <w:rFonts w:hint="eastAsia" w:ascii="仿宋" w:hAnsi="仿宋"/>
                <w:color w:val="auto"/>
                <w:kern w:val="0"/>
                <w:sz w:val="24"/>
                <w:szCs w:val="24"/>
                <w:highlight w:val="none"/>
                <w:vertAlign w:val="superscript"/>
              </w:rPr>
              <w:t>2</w:t>
            </w:r>
            <w:r>
              <w:rPr>
                <w:rFonts w:hint="eastAsia" w:ascii="仿宋" w:hAnsi="仿宋"/>
                <w:color w:val="auto"/>
                <w:kern w:val="0"/>
                <w:sz w:val="24"/>
                <w:szCs w:val="24"/>
                <w:highlight w:val="none"/>
              </w:rPr>
              <w:t>：削坡45753m³，布设27处格宾石笼沟头防护，28座柳编沟头防护，修建70座格宾石笼谷坊，谷坊坝体长891m，修建80座柳编谷坊，谷坊坝体长434m，修建格宾石笼护岸长10040m，柳石护岸350m，蜂格护岸12950㎡，栽植柳条及紫穗槐共275.90万株</w:t>
            </w:r>
          </w:p>
        </w:tc>
        <w:tc>
          <w:tcPr>
            <w:tcW w:w="1095"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3370.8</w:t>
            </w:r>
          </w:p>
        </w:tc>
        <w:tc>
          <w:tcPr>
            <w:tcW w:w="1080"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2024年3月</w:t>
            </w:r>
          </w:p>
        </w:tc>
        <w:tc>
          <w:tcPr>
            <w:tcW w:w="1020"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2025年10月</w:t>
            </w:r>
          </w:p>
        </w:tc>
        <w:tc>
          <w:tcPr>
            <w:tcW w:w="1770"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努敏河-克音河土壤保持区</w:t>
            </w:r>
          </w:p>
        </w:tc>
        <w:tc>
          <w:tcPr>
            <w:tcW w:w="1201"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土壤保持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 w:type="dxa"/>
            <w:vMerge w:val="continue"/>
            <w:vAlign w:val="center"/>
          </w:tcPr>
          <w:p>
            <w:pPr>
              <w:spacing w:line="240" w:lineRule="auto"/>
              <w:ind w:firstLine="0" w:firstLineChars="0"/>
              <w:jc w:val="center"/>
              <w:rPr>
                <w:rFonts w:ascii="仿宋" w:hAnsi="仿宋"/>
                <w:color w:val="auto"/>
                <w:kern w:val="0"/>
                <w:sz w:val="24"/>
                <w:szCs w:val="24"/>
              </w:rPr>
            </w:pPr>
          </w:p>
        </w:tc>
        <w:tc>
          <w:tcPr>
            <w:tcW w:w="1560"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绥棱县省级补助资金侵蚀沟治理工程（2025年）</w:t>
            </w:r>
          </w:p>
        </w:tc>
        <w:tc>
          <w:tcPr>
            <w:tcW w:w="1860" w:type="dxa"/>
            <w:vAlign w:val="center"/>
          </w:tcPr>
          <w:p>
            <w:pPr>
              <w:spacing w:line="240" w:lineRule="auto"/>
              <w:ind w:firstLine="0" w:firstLineChars="0"/>
              <w:jc w:val="center"/>
              <w:rPr>
                <w:rFonts w:ascii="仿宋" w:hAnsi="仿宋"/>
                <w:color w:val="auto"/>
                <w:kern w:val="0"/>
                <w:sz w:val="24"/>
                <w:szCs w:val="24"/>
                <w:highlight w:val="none"/>
              </w:rPr>
            </w:pPr>
            <w:r>
              <w:rPr>
                <w:rFonts w:hint="eastAsia" w:ascii="仿宋" w:hAnsi="仿宋"/>
                <w:color w:val="auto"/>
                <w:kern w:val="0"/>
                <w:sz w:val="24"/>
                <w:szCs w:val="24"/>
                <w:highlight w:val="none"/>
              </w:rPr>
              <w:t>靠山乡、四海店镇、绥中乡、阁山镇、双岔河镇、克音河乡、后头乡</w:t>
            </w:r>
          </w:p>
        </w:tc>
        <w:tc>
          <w:tcPr>
            <w:tcW w:w="3540" w:type="dxa"/>
            <w:vAlign w:val="center"/>
          </w:tcPr>
          <w:p>
            <w:pPr>
              <w:spacing w:line="240" w:lineRule="auto"/>
              <w:ind w:firstLine="0" w:firstLineChars="0"/>
              <w:jc w:val="center"/>
              <w:rPr>
                <w:rFonts w:ascii="仿宋" w:hAnsi="仿宋"/>
                <w:color w:val="auto"/>
                <w:kern w:val="0"/>
                <w:sz w:val="24"/>
                <w:szCs w:val="24"/>
                <w:highlight w:val="none"/>
              </w:rPr>
            </w:pPr>
            <w:r>
              <w:rPr>
                <w:rFonts w:hint="eastAsia" w:ascii="仿宋" w:hAnsi="仿宋"/>
                <w:color w:val="auto"/>
                <w:kern w:val="0"/>
                <w:sz w:val="24"/>
                <w:szCs w:val="24"/>
                <w:highlight w:val="none"/>
              </w:rPr>
              <w:t>综合治理侵蚀沟60条(其中大型沟17条，中型沟38条，小型沟5条），沟道总长25.657km，沟壑面积42.8hm</w:t>
            </w:r>
            <w:r>
              <w:rPr>
                <w:rFonts w:hint="eastAsia" w:ascii="仿宋" w:hAnsi="仿宋"/>
                <w:color w:val="auto"/>
                <w:kern w:val="0"/>
                <w:sz w:val="24"/>
                <w:szCs w:val="24"/>
                <w:highlight w:val="none"/>
                <w:vertAlign w:val="superscript"/>
              </w:rPr>
              <w:t>2</w:t>
            </w:r>
            <w:r>
              <w:rPr>
                <w:rFonts w:hint="eastAsia" w:ascii="仿宋" w:hAnsi="仿宋"/>
                <w:color w:val="auto"/>
                <w:kern w:val="0"/>
                <w:sz w:val="24"/>
                <w:szCs w:val="24"/>
                <w:highlight w:val="none"/>
              </w:rPr>
              <w:t>：削坡27406m³，布设30处柳编沟头防护，22处格宾石笼沟头防护，修建61座格宾石笼谷坊，谷坊坝体长731m，修建91座柳编谷坊，谷坊坝体长857m，修建格宾石笼护岸长9697m，柳石护岸300m，蜂格护岸13520㎡，栽植柳条及紫穗槐共169.54万株。</w:t>
            </w:r>
          </w:p>
        </w:tc>
        <w:tc>
          <w:tcPr>
            <w:tcW w:w="1095"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3010.2</w:t>
            </w:r>
          </w:p>
        </w:tc>
        <w:tc>
          <w:tcPr>
            <w:tcW w:w="1080"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2024年3月</w:t>
            </w:r>
          </w:p>
        </w:tc>
        <w:tc>
          <w:tcPr>
            <w:tcW w:w="1020"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2025年10月</w:t>
            </w:r>
          </w:p>
        </w:tc>
        <w:tc>
          <w:tcPr>
            <w:tcW w:w="1770"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努敏河-克音河土壤保持区</w:t>
            </w:r>
          </w:p>
        </w:tc>
        <w:tc>
          <w:tcPr>
            <w:tcW w:w="1201"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土壤保持</w:t>
            </w:r>
          </w:p>
        </w:tc>
      </w:tr>
    </w:tbl>
    <w:p>
      <w:pPr>
        <w:pStyle w:val="2"/>
        <w:ind w:firstLine="0" w:firstLineChars="0"/>
        <w:rPr>
          <w:rFonts w:hint="default" w:ascii="Times New Roman" w:hAnsi="Times New Roman" w:eastAsia="仿宋"/>
          <w:color w:val="auto"/>
        </w:rPr>
        <w:sectPr>
          <w:pgSz w:w="16838" w:h="11906" w:orient="landscape"/>
          <w:pgMar w:top="1800" w:right="1440" w:bottom="1800" w:left="1440" w:header="851" w:footer="992" w:gutter="0"/>
          <w:cols w:space="425" w:num="1"/>
          <w:docGrid w:type="lines" w:linePitch="312" w:charSpace="0"/>
        </w:sectPr>
      </w:pPr>
    </w:p>
    <w:p>
      <w:pPr>
        <w:pStyle w:val="2"/>
        <w:ind w:firstLine="0" w:firstLineChars="0"/>
        <w:rPr>
          <w:rFonts w:hint="default" w:ascii="Times New Roman" w:hAnsi="Times New Roman" w:eastAsia="仿宋"/>
          <w:color w:val="auto"/>
        </w:rPr>
      </w:pPr>
      <w:bookmarkStart w:id="52" w:name="_Toc24494"/>
      <w:r>
        <w:rPr>
          <w:rFonts w:ascii="Times New Roman" w:hAnsi="Times New Roman" w:eastAsia="仿宋"/>
          <w:color w:val="auto"/>
        </w:rPr>
        <w:t>9</w:t>
      </w:r>
      <w:r>
        <w:rPr>
          <w:rFonts w:hint="default" w:ascii="Times New Roman" w:hAnsi="Times New Roman" w:eastAsia="仿宋"/>
          <w:color w:val="auto"/>
        </w:rPr>
        <w:t xml:space="preserve"> 投资估算</w:t>
      </w:r>
      <w:bookmarkEnd w:id="52"/>
    </w:p>
    <w:p>
      <w:pPr>
        <w:pStyle w:val="3"/>
        <w:ind w:firstLine="0" w:firstLineChars="0"/>
        <w:rPr>
          <w:rFonts w:ascii="Times New Roman" w:hAnsi="Times New Roman" w:eastAsia="仿宋" w:cs="Times New Roman"/>
          <w:color w:val="auto"/>
        </w:rPr>
      </w:pPr>
      <w:bookmarkStart w:id="53" w:name="_Toc27449"/>
      <w:r>
        <w:rPr>
          <w:rFonts w:hint="eastAsia" w:ascii="Times New Roman" w:hAnsi="Times New Roman" w:eastAsia="仿宋" w:cs="Times New Roman"/>
          <w:color w:val="auto"/>
        </w:rPr>
        <w:t>9</w:t>
      </w:r>
      <w:r>
        <w:rPr>
          <w:rFonts w:ascii="Times New Roman" w:hAnsi="Times New Roman" w:eastAsia="仿宋" w:cs="Times New Roman"/>
          <w:color w:val="auto"/>
        </w:rPr>
        <w:t>.1资金预算</w:t>
      </w:r>
      <w:bookmarkEnd w:id="53"/>
    </w:p>
    <w:p>
      <w:pPr>
        <w:ind w:firstLine="560"/>
        <w:rPr>
          <w:rFonts w:cs="Times New Roman"/>
          <w:bCs/>
          <w:color w:val="auto"/>
        </w:rPr>
      </w:pPr>
      <w:r>
        <w:rPr>
          <w:rFonts w:cs="Times New Roman"/>
          <w:bCs/>
          <w:color w:val="auto"/>
        </w:rPr>
        <w:t>本规划按</w:t>
      </w:r>
      <w:r>
        <w:rPr>
          <w:rFonts w:hint="eastAsia" w:cs="Times New Roman"/>
          <w:bCs/>
          <w:color w:val="auto"/>
        </w:rPr>
        <w:t>绥棱县</w:t>
      </w:r>
      <w:r>
        <w:rPr>
          <w:rFonts w:cs="Times New Roman"/>
          <w:bCs/>
          <w:color w:val="auto"/>
        </w:rPr>
        <w:t>生态功能保护修复的系统性、整体性、连通性、互补性和示范性的指导原则，</w:t>
      </w:r>
      <w:r>
        <w:rPr>
          <w:rFonts w:hint="eastAsia" w:cs="Times New Roman"/>
          <w:bCs/>
          <w:color w:val="auto"/>
        </w:rPr>
        <w:t>对生态功能保护修复分区存在的问题提出重点治理工程，</w:t>
      </w:r>
      <w:r>
        <w:rPr>
          <w:rFonts w:cs="Times New Roman"/>
          <w:bCs/>
          <w:color w:val="auto"/>
        </w:rPr>
        <w:t>初步测算，“十四五”规划总投资</w:t>
      </w:r>
      <w:r>
        <w:rPr>
          <w:rFonts w:hint="eastAsia" w:cs="Times New Roman"/>
          <w:bCs/>
          <w:color w:val="auto"/>
          <w:lang w:val="en-US" w:eastAsia="zh-CN"/>
        </w:rPr>
        <w:t>40188.</w:t>
      </w:r>
      <w:r>
        <w:rPr>
          <w:rFonts w:hint="eastAsia" w:cs="Times New Roman"/>
          <w:bCs/>
          <w:color w:val="auto"/>
        </w:rPr>
        <w:t>42</w:t>
      </w:r>
      <w:r>
        <w:rPr>
          <w:rFonts w:cs="Times New Roman"/>
          <w:bCs/>
          <w:color w:val="auto"/>
        </w:rPr>
        <w:t>万元</w:t>
      </w:r>
      <w:r>
        <w:rPr>
          <w:rFonts w:hint="eastAsia" w:cs="Times New Roman"/>
          <w:bCs/>
          <w:color w:val="auto"/>
        </w:rPr>
        <w:t>。</w:t>
      </w:r>
    </w:p>
    <w:p>
      <w:pPr>
        <w:ind w:firstLine="0" w:firstLineChars="0"/>
        <w:jc w:val="center"/>
        <w:rPr>
          <w:rFonts w:cs="Times New Roman"/>
          <w:b/>
          <w:color w:val="auto"/>
        </w:rPr>
      </w:pPr>
      <w:r>
        <w:rPr>
          <w:rFonts w:hint="eastAsia" w:cs="Times New Roman"/>
          <w:b/>
          <w:color w:val="auto"/>
        </w:rPr>
        <w:t>表9-1 工程资金估算表</w:t>
      </w:r>
    </w:p>
    <w:tbl>
      <w:tblPr>
        <w:tblStyle w:val="1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7"/>
        <w:gridCol w:w="1154"/>
        <w:gridCol w:w="4592"/>
        <w:gridCol w:w="17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序号</w:t>
            </w:r>
          </w:p>
        </w:tc>
        <w:tc>
          <w:tcPr>
            <w:tcW w:w="1154"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时间</w:t>
            </w:r>
          </w:p>
        </w:tc>
        <w:tc>
          <w:tcPr>
            <w:tcW w:w="4592"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重大工程</w:t>
            </w:r>
          </w:p>
        </w:tc>
        <w:tc>
          <w:tcPr>
            <w:tcW w:w="1769"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投资金额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1</w:t>
            </w:r>
          </w:p>
        </w:tc>
        <w:tc>
          <w:tcPr>
            <w:tcW w:w="1154"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2021年</w:t>
            </w:r>
          </w:p>
        </w:tc>
        <w:tc>
          <w:tcPr>
            <w:tcW w:w="4592"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绥棱县生态保护和修复建设项目</w:t>
            </w:r>
          </w:p>
        </w:tc>
        <w:tc>
          <w:tcPr>
            <w:tcW w:w="1769"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37.21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3" w:type="dxa"/>
            <w:gridSpan w:val="3"/>
            <w:vAlign w:val="center"/>
          </w:tcPr>
          <w:p>
            <w:pPr>
              <w:spacing w:line="240" w:lineRule="auto"/>
              <w:ind w:firstLine="0" w:firstLineChars="0"/>
              <w:jc w:val="center"/>
              <w:rPr>
                <w:rFonts w:ascii="仿宋" w:hAnsi="仿宋"/>
                <w:b/>
                <w:bCs/>
                <w:color w:val="auto"/>
                <w:kern w:val="0"/>
                <w:sz w:val="24"/>
                <w:szCs w:val="24"/>
              </w:rPr>
            </w:pPr>
            <w:r>
              <w:rPr>
                <w:rFonts w:hint="eastAsia" w:ascii="仿宋" w:hAnsi="仿宋"/>
                <w:b/>
                <w:bCs/>
                <w:color w:val="auto"/>
                <w:kern w:val="0"/>
                <w:sz w:val="24"/>
                <w:szCs w:val="24"/>
              </w:rPr>
              <w:t>小计</w:t>
            </w:r>
          </w:p>
        </w:tc>
        <w:tc>
          <w:tcPr>
            <w:tcW w:w="1769" w:type="dxa"/>
            <w:vAlign w:val="center"/>
          </w:tcPr>
          <w:p>
            <w:pPr>
              <w:spacing w:line="240" w:lineRule="auto"/>
              <w:ind w:firstLine="0" w:firstLineChars="0"/>
              <w:jc w:val="center"/>
              <w:rPr>
                <w:rFonts w:ascii="仿宋" w:hAnsi="仿宋"/>
                <w:b/>
                <w:bCs/>
                <w:color w:val="auto"/>
                <w:kern w:val="0"/>
                <w:sz w:val="24"/>
                <w:szCs w:val="24"/>
              </w:rPr>
            </w:pPr>
            <w:r>
              <w:rPr>
                <w:rFonts w:hint="eastAsia" w:ascii="仿宋" w:hAnsi="仿宋"/>
                <w:b/>
                <w:bCs/>
                <w:color w:val="auto"/>
                <w:kern w:val="0"/>
                <w:sz w:val="24"/>
                <w:szCs w:val="24"/>
              </w:rPr>
              <w:t>37.21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2</w:t>
            </w:r>
          </w:p>
        </w:tc>
        <w:tc>
          <w:tcPr>
            <w:tcW w:w="1154" w:type="dxa"/>
            <w:vMerge w:val="restart"/>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2022年</w:t>
            </w:r>
          </w:p>
        </w:tc>
        <w:tc>
          <w:tcPr>
            <w:tcW w:w="4592"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绥棱县克音河乡绥棱镇靠山乡双岔河镇克绥靠双项目区侵蚀沟综合治理工程</w:t>
            </w:r>
          </w:p>
        </w:tc>
        <w:tc>
          <w:tcPr>
            <w:tcW w:w="1769"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675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3</w:t>
            </w:r>
          </w:p>
        </w:tc>
        <w:tc>
          <w:tcPr>
            <w:tcW w:w="1154" w:type="dxa"/>
            <w:vMerge w:val="continue"/>
            <w:vAlign w:val="center"/>
          </w:tcPr>
          <w:p>
            <w:pPr>
              <w:spacing w:line="240" w:lineRule="auto"/>
              <w:ind w:firstLine="0" w:firstLineChars="0"/>
              <w:jc w:val="center"/>
              <w:rPr>
                <w:rFonts w:ascii="仿宋" w:hAnsi="仿宋"/>
                <w:color w:val="auto"/>
                <w:kern w:val="0"/>
                <w:sz w:val="24"/>
                <w:szCs w:val="24"/>
              </w:rPr>
            </w:pPr>
          </w:p>
        </w:tc>
        <w:tc>
          <w:tcPr>
            <w:tcW w:w="4592"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绥棱县国土绿化建设项目</w:t>
            </w:r>
          </w:p>
        </w:tc>
        <w:tc>
          <w:tcPr>
            <w:tcW w:w="1769"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64.5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3" w:type="dxa"/>
            <w:gridSpan w:val="3"/>
            <w:vAlign w:val="center"/>
          </w:tcPr>
          <w:p>
            <w:pPr>
              <w:spacing w:line="240" w:lineRule="auto"/>
              <w:ind w:firstLine="0" w:firstLineChars="0"/>
              <w:jc w:val="center"/>
              <w:rPr>
                <w:rFonts w:ascii="仿宋" w:hAnsi="仿宋"/>
                <w:b/>
                <w:bCs/>
                <w:color w:val="auto"/>
                <w:kern w:val="0"/>
                <w:sz w:val="24"/>
                <w:szCs w:val="24"/>
              </w:rPr>
            </w:pPr>
            <w:r>
              <w:rPr>
                <w:rFonts w:hint="eastAsia" w:ascii="仿宋" w:hAnsi="仿宋"/>
                <w:b/>
                <w:bCs/>
                <w:color w:val="auto"/>
                <w:kern w:val="0"/>
                <w:sz w:val="24"/>
                <w:szCs w:val="24"/>
              </w:rPr>
              <w:t>小计</w:t>
            </w:r>
          </w:p>
        </w:tc>
        <w:tc>
          <w:tcPr>
            <w:tcW w:w="1769" w:type="dxa"/>
            <w:vAlign w:val="center"/>
          </w:tcPr>
          <w:p>
            <w:pPr>
              <w:spacing w:line="240" w:lineRule="auto"/>
              <w:ind w:firstLine="0" w:firstLineChars="0"/>
              <w:jc w:val="center"/>
              <w:rPr>
                <w:rFonts w:ascii="仿宋" w:hAnsi="仿宋"/>
                <w:b/>
                <w:bCs/>
                <w:color w:val="auto"/>
                <w:kern w:val="0"/>
                <w:sz w:val="24"/>
                <w:szCs w:val="24"/>
              </w:rPr>
            </w:pPr>
            <w:r>
              <w:rPr>
                <w:rFonts w:hint="eastAsia" w:ascii="仿宋" w:hAnsi="仿宋"/>
                <w:b/>
                <w:bCs/>
                <w:color w:val="auto"/>
                <w:kern w:val="0"/>
                <w:sz w:val="24"/>
                <w:szCs w:val="24"/>
              </w:rPr>
              <w:t>739.5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4</w:t>
            </w:r>
          </w:p>
        </w:tc>
        <w:tc>
          <w:tcPr>
            <w:tcW w:w="1154" w:type="dxa"/>
            <w:vMerge w:val="restart"/>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2023年</w:t>
            </w:r>
          </w:p>
        </w:tc>
        <w:tc>
          <w:tcPr>
            <w:tcW w:w="4592"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2021年绥化市绥棱县高标准农田建设项目</w:t>
            </w:r>
          </w:p>
        </w:tc>
        <w:tc>
          <w:tcPr>
            <w:tcW w:w="1769" w:type="dxa"/>
            <w:vAlign w:val="center"/>
          </w:tcPr>
          <w:p>
            <w:pPr>
              <w:spacing w:line="240" w:lineRule="auto"/>
              <w:ind w:firstLine="0" w:firstLineChars="0"/>
              <w:jc w:val="center"/>
              <w:rPr>
                <w:rFonts w:hint="eastAsia" w:ascii="仿宋" w:hAnsi="仿宋"/>
                <w:color w:val="auto"/>
                <w:kern w:val="0"/>
                <w:sz w:val="24"/>
                <w:szCs w:val="24"/>
              </w:rPr>
            </w:pPr>
            <w:r>
              <w:rPr>
                <w:rFonts w:hint="eastAsia" w:ascii="仿宋" w:hAnsi="仿宋"/>
                <w:color w:val="auto"/>
                <w:kern w:val="0"/>
                <w:sz w:val="24"/>
                <w:szCs w:val="24"/>
                <w:lang w:val="en-US" w:eastAsia="zh-CN"/>
              </w:rPr>
              <w:t>11412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5</w:t>
            </w:r>
          </w:p>
        </w:tc>
        <w:tc>
          <w:tcPr>
            <w:tcW w:w="1154" w:type="dxa"/>
            <w:vMerge w:val="continue"/>
            <w:vAlign w:val="center"/>
          </w:tcPr>
          <w:p>
            <w:pPr>
              <w:spacing w:line="240" w:lineRule="auto"/>
              <w:ind w:firstLine="0" w:firstLineChars="0"/>
              <w:jc w:val="center"/>
              <w:rPr>
                <w:rFonts w:ascii="仿宋" w:hAnsi="仿宋"/>
                <w:color w:val="auto"/>
                <w:kern w:val="0"/>
                <w:sz w:val="24"/>
                <w:szCs w:val="24"/>
              </w:rPr>
            </w:pPr>
          </w:p>
        </w:tc>
        <w:tc>
          <w:tcPr>
            <w:tcW w:w="4592"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绥棱县造林绿化建设项目</w:t>
            </w:r>
          </w:p>
        </w:tc>
        <w:tc>
          <w:tcPr>
            <w:tcW w:w="1769" w:type="dxa"/>
            <w:vAlign w:val="center"/>
          </w:tcPr>
          <w:p>
            <w:pPr>
              <w:spacing w:line="240" w:lineRule="auto"/>
              <w:ind w:firstLine="0" w:firstLineChars="0"/>
              <w:jc w:val="center"/>
              <w:rPr>
                <w:rFonts w:hint="eastAsia" w:ascii="仿宋" w:hAnsi="仿宋"/>
                <w:color w:val="auto"/>
                <w:kern w:val="0"/>
                <w:sz w:val="24"/>
                <w:szCs w:val="24"/>
              </w:rPr>
            </w:pPr>
            <w:r>
              <w:rPr>
                <w:rFonts w:hint="eastAsia" w:ascii="仿宋" w:hAnsi="仿宋"/>
                <w:color w:val="auto"/>
                <w:kern w:val="0"/>
                <w:sz w:val="24"/>
                <w:szCs w:val="24"/>
                <w:lang w:val="en-US" w:eastAsia="zh-CN"/>
              </w:rPr>
              <w:t>69.48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Align w:val="center"/>
          </w:tcPr>
          <w:p>
            <w:pPr>
              <w:spacing w:line="240" w:lineRule="auto"/>
              <w:ind w:firstLine="0" w:firstLineChars="0"/>
              <w:jc w:val="center"/>
              <w:rPr>
                <w:rFonts w:hint="eastAsia" w:ascii="仿宋" w:hAnsi="仿宋" w:eastAsia="仿宋"/>
                <w:color w:val="auto"/>
                <w:kern w:val="0"/>
                <w:sz w:val="24"/>
                <w:szCs w:val="24"/>
                <w:lang w:eastAsia="zh-CN"/>
              </w:rPr>
            </w:pPr>
            <w:r>
              <w:rPr>
                <w:rFonts w:hint="eastAsia" w:ascii="仿宋" w:hAnsi="仿宋"/>
                <w:color w:val="auto"/>
                <w:kern w:val="0"/>
                <w:sz w:val="24"/>
                <w:szCs w:val="24"/>
                <w:lang w:val="en-US" w:eastAsia="zh-CN"/>
              </w:rPr>
              <w:t>6</w:t>
            </w:r>
          </w:p>
        </w:tc>
        <w:tc>
          <w:tcPr>
            <w:tcW w:w="1154" w:type="dxa"/>
            <w:vMerge w:val="continue"/>
            <w:vAlign w:val="center"/>
          </w:tcPr>
          <w:p>
            <w:pPr>
              <w:spacing w:line="240" w:lineRule="auto"/>
              <w:ind w:firstLine="0" w:firstLineChars="0"/>
              <w:jc w:val="center"/>
              <w:rPr>
                <w:rFonts w:ascii="仿宋" w:hAnsi="仿宋"/>
                <w:color w:val="auto"/>
                <w:kern w:val="0"/>
                <w:sz w:val="24"/>
                <w:szCs w:val="24"/>
              </w:rPr>
            </w:pPr>
          </w:p>
        </w:tc>
        <w:tc>
          <w:tcPr>
            <w:tcW w:w="4592"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绥棱县2022年省级补助资金侵蚀沟治理工程</w:t>
            </w:r>
          </w:p>
        </w:tc>
        <w:tc>
          <w:tcPr>
            <w:tcW w:w="1769" w:type="dxa"/>
            <w:vAlign w:val="center"/>
          </w:tcPr>
          <w:p>
            <w:pPr>
              <w:spacing w:line="240" w:lineRule="auto"/>
              <w:ind w:firstLine="0" w:firstLineChars="0"/>
              <w:jc w:val="center"/>
              <w:rPr>
                <w:rFonts w:hint="eastAsia" w:ascii="仿宋" w:hAnsi="仿宋"/>
                <w:color w:val="auto"/>
                <w:kern w:val="0"/>
                <w:sz w:val="24"/>
                <w:szCs w:val="24"/>
              </w:rPr>
            </w:pPr>
            <w:r>
              <w:rPr>
                <w:rFonts w:hint="eastAsia" w:ascii="仿宋" w:hAnsi="仿宋"/>
                <w:color w:val="auto"/>
                <w:kern w:val="0"/>
                <w:sz w:val="24"/>
                <w:szCs w:val="24"/>
                <w:lang w:val="en-US" w:eastAsia="zh-CN"/>
              </w:rPr>
              <w:t>992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Align w:val="center"/>
          </w:tcPr>
          <w:p>
            <w:pPr>
              <w:spacing w:line="240" w:lineRule="auto"/>
              <w:ind w:firstLine="0" w:firstLineChars="0"/>
              <w:jc w:val="center"/>
              <w:rPr>
                <w:rFonts w:hint="eastAsia" w:ascii="仿宋" w:hAnsi="仿宋" w:eastAsia="仿宋"/>
                <w:color w:val="auto"/>
                <w:kern w:val="0"/>
                <w:sz w:val="24"/>
                <w:szCs w:val="24"/>
                <w:lang w:eastAsia="zh-CN"/>
              </w:rPr>
            </w:pPr>
            <w:r>
              <w:rPr>
                <w:rFonts w:hint="eastAsia" w:ascii="仿宋" w:hAnsi="仿宋"/>
                <w:color w:val="auto"/>
                <w:kern w:val="0"/>
                <w:sz w:val="24"/>
                <w:szCs w:val="24"/>
                <w:lang w:val="en-US" w:eastAsia="zh-CN"/>
              </w:rPr>
              <w:t>7</w:t>
            </w:r>
          </w:p>
        </w:tc>
        <w:tc>
          <w:tcPr>
            <w:tcW w:w="1154" w:type="dxa"/>
            <w:vMerge w:val="continue"/>
            <w:vAlign w:val="center"/>
          </w:tcPr>
          <w:p>
            <w:pPr>
              <w:spacing w:line="240" w:lineRule="auto"/>
              <w:ind w:firstLine="0" w:firstLineChars="0"/>
              <w:jc w:val="center"/>
              <w:rPr>
                <w:rFonts w:ascii="仿宋" w:hAnsi="仿宋"/>
                <w:color w:val="auto"/>
                <w:kern w:val="0"/>
                <w:sz w:val="24"/>
                <w:szCs w:val="24"/>
              </w:rPr>
            </w:pPr>
          </w:p>
        </w:tc>
        <w:tc>
          <w:tcPr>
            <w:tcW w:w="4592"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绥棱县2022年地方政府一般债券资金侵蚀沟治理工程</w:t>
            </w:r>
          </w:p>
        </w:tc>
        <w:tc>
          <w:tcPr>
            <w:tcW w:w="1769" w:type="dxa"/>
            <w:vAlign w:val="center"/>
          </w:tcPr>
          <w:p>
            <w:pPr>
              <w:spacing w:line="240" w:lineRule="auto"/>
              <w:ind w:firstLine="0" w:firstLineChars="0"/>
              <w:jc w:val="center"/>
              <w:rPr>
                <w:rFonts w:hint="eastAsia" w:ascii="仿宋" w:hAnsi="仿宋"/>
                <w:color w:val="auto"/>
                <w:kern w:val="0"/>
                <w:sz w:val="24"/>
                <w:szCs w:val="24"/>
              </w:rPr>
            </w:pPr>
            <w:r>
              <w:rPr>
                <w:rFonts w:hint="eastAsia" w:ascii="仿宋" w:hAnsi="仿宋"/>
                <w:color w:val="auto"/>
                <w:kern w:val="0"/>
                <w:sz w:val="24"/>
                <w:szCs w:val="24"/>
                <w:lang w:val="en-US" w:eastAsia="zh-CN"/>
              </w:rPr>
              <w:t>638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3" w:type="dxa"/>
            <w:gridSpan w:val="3"/>
            <w:vAlign w:val="center"/>
          </w:tcPr>
          <w:p>
            <w:pPr>
              <w:spacing w:line="240" w:lineRule="auto"/>
              <w:ind w:firstLine="0" w:firstLineChars="0"/>
              <w:jc w:val="center"/>
              <w:rPr>
                <w:rFonts w:ascii="仿宋" w:hAnsi="仿宋"/>
                <w:color w:val="auto"/>
                <w:kern w:val="0"/>
                <w:sz w:val="24"/>
                <w:szCs w:val="24"/>
              </w:rPr>
            </w:pPr>
            <w:r>
              <w:rPr>
                <w:rFonts w:hint="eastAsia" w:ascii="仿宋" w:hAnsi="仿宋"/>
                <w:b/>
                <w:bCs/>
                <w:color w:val="auto"/>
                <w:kern w:val="0"/>
                <w:sz w:val="24"/>
                <w:szCs w:val="24"/>
              </w:rPr>
              <w:t>小计</w:t>
            </w:r>
          </w:p>
        </w:tc>
        <w:tc>
          <w:tcPr>
            <w:tcW w:w="1769" w:type="dxa"/>
            <w:vAlign w:val="center"/>
          </w:tcPr>
          <w:p>
            <w:pPr>
              <w:spacing w:line="240" w:lineRule="auto"/>
              <w:ind w:firstLine="0" w:firstLineChars="0"/>
              <w:jc w:val="center"/>
              <w:rPr>
                <w:rFonts w:hint="eastAsia" w:ascii="仿宋" w:hAnsi="仿宋"/>
                <w:color w:val="auto"/>
                <w:kern w:val="0"/>
                <w:sz w:val="24"/>
                <w:szCs w:val="24"/>
              </w:rPr>
            </w:pPr>
            <w:r>
              <w:rPr>
                <w:rFonts w:hint="eastAsia" w:ascii="仿宋" w:hAnsi="仿宋"/>
                <w:b/>
                <w:bCs/>
                <w:color w:val="auto"/>
                <w:kern w:val="0"/>
                <w:sz w:val="24"/>
                <w:szCs w:val="24"/>
                <w:lang w:val="en-US" w:eastAsia="zh-CN"/>
              </w:rPr>
              <w:t>13111.48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Align w:val="center"/>
          </w:tcPr>
          <w:p>
            <w:pPr>
              <w:spacing w:line="240" w:lineRule="auto"/>
              <w:ind w:firstLine="0" w:firstLineChars="0"/>
              <w:jc w:val="center"/>
              <w:rPr>
                <w:rFonts w:hint="eastAsia" w:ascii="仿宋" w:hAnsi="仿宋" w:eastAsia="仿宋"/>
                <w:color w:val="auto"/>
                <w:kern w:val="0"/>
                <w:sz w:val="24"/>
                <w:szCs w:val="24"/>
                <w:lang w:eastAsia="zh-CN"/>
              </w:rPr>
            </w:pPr>
            <w:r>
              <w:rPr>
                <w:rFonts w:hint="eastAsia" w:ascii="仿宋" w:hAnsi="仿宋"/>
                <w:color w:val="auto"/>
                <w:kern w:val="0"/>
                <w:sz w:val="24"/>
                <w:szCs w:val="24"/>
                <w:lang w:val="en-US" w:eastAsia="zh-CN"/>
              </w:rPr>
              <w:t>8</w:t>
            </w:r>
          </w:p>
        </w:tc>
        <w:tc>
          <w:tcPr>
            <w:tcW w:w="1154" w:type="dxa"/>
            <w:vMerge w:val="restart"/>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2024年</w:t>
            </w:r>
          </w:p>
        </w:tc>
        <w:tc>
          <w:tcPr>
            <w:tcW w:w="4592"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绥棱县中央水利发展资金项目侵蚀沟治理工程项目2023年</w:t>
            </w:r>
          </w:p>
        </w:tc>
        <w:tc>
          <w:tcPr>
            <w:tcW w:w="1769" w:type="dxa"/>
            <w:vAlign w:val="center"/>
          </w:tcPr>
          <w:p>
            <w:pPr>
              <w:spacing w:line="240" w:lineRule="auto"/>
              <w:ind w:firstLine="0" w:firstLineChars="0"/>
              <w:jc w:val="center"/>
              <w:rPr>
                <w:rFonts w:hint="eastAsia" w:ascii="仿宋" w:hAnsi="仿宋"/>
                <w:color w:val="auto"/>
                <w:kern w:val="0"/>
                <w:sz w:val="24"/>
                <w:szCs w:val="24"/>
              </w:rPr>
            </w:pPr>
            <w:r>
              <w:rPr>
                <w:rFonts w:hint="eastAsia" w:ascii="仿宋" w:hAnsi="仿宋"/>
                <w:color w:val="auto"/>
                <w:kern w:val="0"/>
                <w:sz w:val="24"/>
                <w:szCs w:val="24"/>
                <w:lang w:val="en-US" w:eastAsia="zh-CN"/>
              </w:rPr>
              <w:t>1947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Align w:val="center"/>
          </w:tcPr>
          <w:p>
            <w:pPr>
              <w:spacing w:line="240" w:lineRule="auto"/>
              <w:ind w:firstLine="0" w:firstLineChars="0"/>
              <w:jc w:val="center"/>
              <w:rPr>
                <w:rFonts w:hint="eastAsia" w:ascii="仿宋" w:hAnsi="仿宋" w:eastAsia="仿宋"/>
                <w:color w:val="auto"/>
                <w:kern w:val="0"/>
                <w:sz w:val="24"/>
                <w:szCs w:val="24"/>
                <w:lang w:eastAsia="zh-CN"/>
              </w:rPr>
            </w:pPr>
            <w:r>
              <w:rPr>
                <w:rFonts w:hint="eastAsia" w:ascii="仿宋" w:hAnsi="仿宋"/>
                <w:color w:val="auto"/>
                <w:kern w:val="0"/>
                <w:sz w:val="24"/>
                <w:szCs w:val="24"/>
                <w:lang w:val="en-US" w:eastAsia="zh-CN"/>
              </w:rPr>
              <w:t>9</w:t>
            </w:r>
          </w:p>
        </w:tc>
        <w:tc>
          <w:tcPr>
            <w:tcW w:w="1154" w:type="dxa"/>
            <w:vMerge w:val="continue"/>
            <w:vAlign w:val="center"/>
          </w:tcPr>
          <w:p>
            <w:pPr>
              <w:spacing w:line="240" w:lineRule="auto"/>
              <w:ind w:firstLine="0" w:firstLineChars="0"/>
              <w:jc w:val="center"/>
              <w:rPr>
                <w:rFonts w:ascii="仿宋" w:hAnsi="仿宋"/>
                <w:color w:val="auto"/>
                <w:kern w:val="0"/>
                <w:sz w:val="24"/>
                <w:szCs w:val="24"/>
              </w:rPr>
            </w:pPr>
          </w:p>
        </w:tc>
        <w:tc>
          <w:tcPr>
            <w:tcW w:w="4592"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绥棱县造林绿化建设项目</w:t>
            </w:r>
          </w:p>
        </w:tc>
        <w:tc>
          <w:tcPr>
            <w:tcW w:w="1769" w:type="dxa"/>
            <w:vAlign w:val="center"/>
          </w:tcPr>
          <w:p>
            <w:pPr>
              <w:spacing w:line="240" w:lineRule="auto"/>
              <w:ind w:firstLine="0" w:firstLineChars="0"/>
              <w:jc w:val="center"/>
              <w:rPr>
                <w:rFonts w:hint="eastAsia" w:ascii="仿宋" w:hAnsi="仿宋"/>
                <w:color w:val="auto"/>
                <w:kern w:val="0"/>
                <w:sz w:val="24"/>
                <w:szCs w:val="24"/>
              </w:rPr>
            </w:pPr>
            <w:r>
              <w:rPr>
                <w:rFonts w:hint="eastAsia" w:ascii="仿宋" w:hAnsi="仿宋"/>
                <w:color w:val="auto"/>
                <w:kern w:val="0"/>
                <w:sz w:val="24"/>
                <w:szCs w:val="24"/>
                <w:lang w:val="en-US" w:eastAsia="zh-CN"/>
              </w:rPr>
              <w:t>20.67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Align w:val="center"/>
          </w:tcPr>
          <w:p>
            <w:pPr>
              <w:spacing w:line="240" w:lineRule="auto"/>
              <w:ind w:firstLine="0" w:firstLineChars="0"/>
              <w:jc w:val="center"/>
              <w:rPr>
                <w:rFonts w:hint="default" w:ascii="仿宋" w:hAnsi="仿宋" w:eastAsia="仿宋"/>
                <w:color w:val="auto"/>
                <w:kern w:val="0"/>
                <w:sz w:val="24"/>
                <w:szCs w:val="24"/>
                <w:lang w:val="en-US" w:eastAsia="zh-CN"/>
              </w:rPr>
            </w:pPr>
            <w:r>
              <w:rPr>
                <w:rFonts w:hint="eastAsia" w:ascii="仿宋" w:hAnsi="仿宋"/>
                <w:color w:val="auto"/>
                <w:kern w:val="0"/>
                <w:sz w:val="24"/>
                <w:szCs w:val="24"/>
                <w:lang w:val="en-US" w:eastAsia="zh-CN"/>
              </w:rPr>
              <w:t>10</w:t>
            </w:r>
          </w:p>
        </w:tc>
        <w:tc>
          <w:tcPr>
            <w:tcW w:w="1154" w:type="dxa"/>
            <w:vMerge w:val="continue"/>
            <w:vAlign w:val="center"/>
          </w:tcPr>
          <w:p>
            <w:pPr>
              <w:spacing w:line="240" w:lineRule="auto"/>
              <w:ind w:firstLine="0" w:firstLineChars="0"/>
              <w:jc w:val="center"/>
              <w:rPr>
                <w:rFonts w:ascii="仿宋" w:hAnsi="仿宋"/>
                <w:color w:val="auto"/>
                <w:kern w:val="0"/>
                <w:sz w:val="24"/>
                <w:szCs w:val="24"/>
              </w:rPr>
            </w:pPr>
          </w:p>
        </w:tc>
        <w:tc>
          <w:tcPr>
            <w:tcW w:w="4592" w:type="dxa"/>
            <w:vAlign w:val="center"/>
          </w:tcPr>
          <w:p>
            <w:pPr>
              <w:spacing w:line="240" w:lineRule="auto"/>
              <w:ind w:firstLine="0" w:firstLineChars="0"/>
              <w:jc w:val="center"/>
              <w:rPr>
                <w:rFonts w:hint="eastAsia" w:ascii="仿宋" w:hAnsi="仿宋"/>
                <w:color w:val="auto"/>
                <w:kern w:val="0"/>
                <w:sz w:val="24"/>
                <w:szCs w:val="24"/>
              </w:rPr>
            </w:pPr>
            <w:r>
              <w:rPr>
                <w:rFonts w:hint="eastAsia" w:ascii="仿宋" w:hAnsi="仿宋"/>
                <w:color w:val="auto"/>
                <w:kern w:val="0"/>
                <w:sz w:val="24"/>
                <w:szCs w:val="24"/>
              </w:rPr>
              <w:t>雨污分流管网建设</w:t>
            </w:r>
          </w:p>
        </w:tc>
        <w:tc>
          <w:tcPr>
            <w:tcW w:w="1769" w:type="dxa"/>
            <w:vAlign w:val="center"/>
          </w:tcPr>
          <w:p>
            <w:pPr>
              <w:spacing w:line="240" w:lineRule="auto"/>
              <w:ind w:firstLine="0" w:firstLineChars="0"/>
              <w:jc w:val="center"/>
              <w:rPr>
                <w:rFonts w:hint="eastAsia" w:ascii="仿宋" w:hAnsi="仿宋"/>
                <w:color w:val="auto"/>
                <w:kern w:val="0"/>
                <w:sz w:val="24"/>
                <w:szCs w:val="24"/>
              </w:rPr>
            </w:pPr>
            <w:r>
              <w:rPr>
                <w:rFonts w:hint="eastAsia" w:ascii="仿宋" w:hAnsi="仿宋"/>
                <w:color w:val="auto"/>
                <w:kern w:val="0"/>
                <w:sz w:val="24"/>
                <w:szCs w:val="24"/>
                <w:lang w:val="en-US" w:eastAsia="zh-CN"/>
              </w:rPr>
              <w:t>13826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Align w:val="center"/>
          </w:tcPr>
          <w:p>
            <w:pPr>
              <w:spacing w:line="240" w:lineRule="auto"/>
              <w:ind w:firstLine="0" w:firstLineChars="0"/>
              <w:jc w:val="center"/>
              <w:rPr>
                <w:rFonts w:hint="eastAsia" w:ascii="仿宋" w:hAnsi="仿宋" w:eastAsia="仿宋"/>
                <w:color w:val="auto"/>
                <w:kern w:val="0"/>
                <w:sz w:val="24"/>
                <w:szCs w:val="24"/>
                <w:lang w:eastAsia="zh-CN"/>
              </w:rPr>
            </w:pPr>
            <w:r>
              <w:rPr>
                <w:rFonts w:hint="eastAsia" w:ascii="仿宋" w:hAnsi="仿宋"/>
                <w:color w:val="auto"/>
                <w:kern w:val="0"/>
                <w:sz w:val="24"/>
                <w:szCs w:val="24"/>
              </w:rPr>
              <w:t>1</w:t>
            </w:r>
            <w:r>
              <w:rPr>
                <w:rFonts w:hint="eastAsia" w:ascii="仿宋" w:hAnsi="仿宋"/>
                <w:color w:val="auto"/>
                <w:kern w:val="0"/>
                <w:sz w:val="24"/>
                <w:szCs w:val="24"/>
                <w:lang w:val="en-US" w:eastAsia="zh-CN"/>
              </w:rPr>
              <w:t>1</w:t>
            </w:r>
          </w:p>
        </w:tc>
        <w:tc>
          <w:tcPr>
            <w:tcW w:w="1154" w:type="dxa"/>
            <w:vMerge w:val="continue"/>
            <w:vAlign w:val="center"/>
          </w:tcPr>
          <w:p>
            <w:pPr>
              <w:spacing w:line="240" w:lineRule="auto"/>
              <w:ind w:firstLine="0" w:firstLineChars="0"/>
              <w:jc w:val="center"/>
              <w:rPr>
                <w:rFonts w:ascii="仿宋" w:hAnsi="仿宋"/>
                <w:color w:val="auto"/>
                <w:kern w:val="0"/>
                <w:sz w:val="24"/>
                <w:szCs w:val="24"/>
              </w:rPr>
            </w:pPr>
          </w:p>
        </w:tc>
        <w:tc>
          <w:tcPr>
            <w:tcW w:w="4592"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北大荒集团黑龙江绥棱农场有限公司2023年雨污分离建设项目</w:t>
            </w:r>
          </w:p>
        </w:tc>
        <w:tc>
          <w:tcPr>
            <w:tcW w:w="1769" w:type="dxa"/>
            <w:vAlign w:val="center"/>
          </w:tcPr>
          <w:p>
            <w:pPr>
              <w:spacing w:line="240" w:lineRule="auto"/>
              <w:ind w:firstLine="0" w:firstLineChars="0"/>
              <w:jc w:val="center"/>
              <w:rPr>
                <w:rFonts w:hint="eastAsia" w:ascii="仿宋" w:hAnsi="仿宋"/>
                <w:color w:val="auto"/>
                <w:kern w:val="0"/>
                <w:sz w:val="24"/>
                <w:szCs w:val="24"/>
              </w:rPr>
            </w:pPr>
            <w:r>
              <w:rPr>
                <w:rFonts w:hint="eastAsia" w:ascii="仿宋" w:hAnsi="仿宋"/>
                <w:color w:val="auto"/>
                <w:kern w:val="0"/>
                <w:sz w:val="24"/>
                <w:szCs w:val="24"/>
                <w:lang w:val="en-US" w:eastAsia="zh-CN"/>
              </w:rPr>
              <w:t>308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3" w:type="dxa"/>
            <w:gridSpan w:val="3"/>
            <w:vAlign w:val="center"/>
          </w:tcPr>
          <w:p>
            <w:pPr>
              <w:spacing w:line="240" w:lineRule="auto"/>
              <w:ind w:firstLine="0" w:firstLineChars="0"/>
              <w:jc w:val="center"/>
              <w:rPr>
                <w:rFonts w:ascii="仿宋" w:hAnsi="仿宋"/>
                <w:color w:val="auto"/>
                <w:kern w:val="0"/>
                <w:sz w:val="24"/>
                <w:szCs w:val="24"/>
              </w:rPr>
            </w:pPr>
            <w:r>
              <w:rPr>
                <w:rFonts w:hint="eastAsia" w:ascii="仿宋" w:hAnsi="仿宋"/>
                <w:b/>
                <w:bCs/>
                <w:color w:val="auto"/>
                <w:kern w:val="0"/>
                <w:sz w:val="24"/>
                <w:szCs w:val="24"/>
              </w:rPr>
              <w:t>小计</w:t>
            </w:r>
          </w:p>
        </w:tc>
        <w:tc>
          <w:tcPr>
            <w:tcW w:w="1769" w:type="dxa"/>
            <w:vAlign w:val="center"/>
          </w:tcPr>
          <w:p>
            <w:pPr>
              <w:spacing w:line="240" w:lineRule="auto"/>
              <w:ind w:firstLine="0" w:firstLineChars="0"/>
              <w:jc w:val="center"/>
              <w:rPr>
                <w:rFonts w:hint="default" w:ascii="仿宋" w:hAnsi="仿宋"/>
                <w:color w:val="auto"/>
                <w:kern w:val="0"/>
                <w:sz w:val="24"/>
                <w:szCs w:val="24"/>
                <w:lang w:val="en-US"/>
              </w:rPr>
            </w:pPr>
            <w:r>
              <w:rPr>
                <w:rFonts w:hint="eastAsia" w:ascii="仿宋" w:hAnsi="仿宋"/>
                <w:b/>
                <w:bCs/>
                <w:color w:val="auto"/>
                <w:kern w:val="0"/>
                <w:sz w:val="24"/>
                <w:szCs w:val="24"/>
                <w:lang w:val="en-US" w:eastAsia="zh-CN"/>
              </w:rPr>
              <w:t>16101.67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Align w:val="center"/>
          </w:tcPr>
          <w:p>
            <w:pPr>
              <w:spacing w:line="240" w:lineRule="auto"/>
              <w:ind w:firstLine="0" w:firstLineChars="0"/>
              <w:jc w:val="center"/>
              <w:rPr>
                <w:rFonts w:hint="eastAsia" w:ascii="仿宋" w:hAnsi="仿宋" w:eastAsia="仿宋"/>
                <w:color w:val="auto"/>
                <w:kern w:val="0"/>
                <w:sz w:val="24"/>
                <w:szCs w:val="24"/>
                <w:lang w:eastAsia="zh-CN"/>
              </w:rPr>
            </w:pPr>
            <w:r>
              <w:rPr>
                <w:rFonts w:hint="eastAsia" w:ascii="仿宋" w:hAnsi="仿宋"/>
                <w:color w:val="auto"/>
                <w:kern w:val="0"/>
                <w:sz w:val="24"/>
                <w:szCs w:val="24"/>
              </w:rPr>
              <w:t>1</w:t>
            </w:r>
            <w:r>
              <w:rPr>
                <w:rFonts w:hint="eastAsia" w:ascii="仿宋" w:hAnsi="仿宋"/>
                <w:color w:val="auto"/>
                <w:kern w:val="0"/>
                <w:sz w:val="24"/>
                <w:szCs w:val="24"/>
                <w:lang w:val="en-US" w:eastAsia="zh-CN"/>
              </w:rPr>
              <w:t>2</w:t>
            </w:r>
          </w:p>
        </w:tc>
        <w:tc>
          <w:tcPr>
            <w:tcW w:w="1154" w:type="dxa"/>
            <w:vMerge w:val="restart"/>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2025年</w:t>
            </w:r>
          </w:p>
        </w:tc>
        <w:tc>
          <w:tcPr>
            <w:tcW w:w="4592"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绥棱县造林绿化建设项目</w:t>
            </w:r>
          </w:p>
        </w:tc>
        <w:tc>
          <w:tcPr>
            <w:tcW w:w="1769"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3.56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Align w:val="center"/>
          </w:tcPr>
          <w:p>
            <w:pPr>
              <w:spacing w:line="240" w:lineRule="auto"/>
              <w:ind w:firstLine="0" w:firstLineChars="0"/>
              <w:jc w:val="center"/>
              <w:rPr>
                <w:rFonts w:hint="eastAsia" w:ascii="仿宋" w:hAnsi="仿宋" w:eastAsia="仿宋"/>
                <w:color w:val="auto"/>
                <w:kern w:val="0"/>
                <w:sz w:val="24"/>
                <w:szCs w:val="24"/>
                <w:lang w:eastAsia="zh-CN"/>
              </w:rPr>
            </w:pPr>
            <w:r>
              <w:rPr>
                <w:rFonts w:hint="eastAsia" w:ascii="仿宋" w:hAnsi="仿宋"/>
                <w:color w:val="auto"/>
                <w:kern w:val="0"/>
                <w:sz w:val="24"/>
                <w:szCs w:val="24"/>
              </w:rPr>
              <w:t>1</w:t>
            </w:r>
            <w:r>
              <w:rPr>
                <w:rFonts w:hint="eastAsia" w:ascii="仿宋" w:hAnsi="仿宋"/>
                <w:color w:val="auto"/>
                <w:kern w:val="0"/>
                <w:sz w:val="24"/>
                <w:szCs w:val="24"/>
                <w:lang w:val="en-US" w:eastAsia="zh-CN"/>
              </w:rPr>
              <w:t>3</w:t>
            </w:r>
          </w:p>
        </w:tc>
        <w:tc>
          <w:tcPr>
            <w:tcW w:w="1154" w:type="dxa"/>
            <w:vMerge w:val="continue"/>
            <w:vAlign w:val="center"/>
          </w:tcPr>
          <w:p>
            <w:pPr>
              <w:spacing w:line="240" w:lineRule="auto"/>
              <w:ind w:firstLine="0" w:firstLineChars="0"/>
              <w:jc w:val="center"/>
              <w:rPr>
                <w:rFonts w:ascii="仿宋" w:hAnsi="仿宋"/>
                <w:color w:val="auto"/>
                <w:kern w:val="0"/>
                <w:sz w:val="24"/>
                <w:szCs w:val="24"/>
              </w:rPr>
            </w:pPr>
          </w:p>
        </w:tc>
        <w:tc>
          <w:tcPr>
            <w:tcW w:w="4592"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绥棱县省级补助资金侵蚀沟治理工程</w:t>
            </w:r>
          </w:p>
        </w:tc>
        <w:tc>
          <w:tcPr>
            <w:tcW w:w="1769"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3814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Align w:val="center"/>
          </w:tcPr>
          <w:p>
            <w:pPr>
              <w:spacing w:line="240" w:lineRule="auto"/>
              <w:ind w:firstLine="0" w:firstLineChars="0"/>
              <w:jc w:val="center"/>
              <w:rPr>
                <w:rFonts w:hint="eastAsia" w:ascii="仿宋" w:hAnsi="仿宋" w:eastAsia="仿宋"/>
                <w:color w:val="auto"/>
                <w:kern w:val="0"/>
                <w:sz w:val="24"/>
                <w:szCs w:val="24"/>
                <w:lang w:eastAsia="zh-CN"/>
              </w:rPr>
            </w:pPr>
            <w:r>
              <w:rPr>
                <w:rFonts w:hint="eastAsia" w:ascii="仿宋" w:hAnsi="仿宋"/>
                <w:color w:val="auto"/>
                <w:kern w:val="0"/>
                <w:sz w:val="24"/>
                <w:szCs w:val="24"/>
              </w:rPr>
              <w:t>1</w:t>
            </w:r>
            <w:r>
              <w:rPr>
                <w:rFonts w:hint="eastAsia" w:ascii="仿宋" w:hAnsi="仿宋"/>
                <w:color w:val="auto"/>
                <w:kern w:val="0"/>
                <w:sz w:val="24"/>
                <w:szCs w:val="24"/>
                <w:lang w:val="en-US" w:eastAsia="zh-CN"/>
              </w:rPr>
              <w:t>4</w:t>
            </w:r>
          </w:p>
        </w:tc>
        <w:tc>
          <w:tcPr>
            <w:tcW w:w="1154" w:type="dxa"/>
            <w:vMerge w:val="continue"/>
            <w:vAlign w:val="center"/>
          </w:tcPr>
          <w:p>
            <w:pPr>
              <w:spacing w:line="240" w:lineRule="auto"/>
              <w:ind w:firstLine="0" w:firstLineChars="0"/>
              <w:jc w:val="center"/>
              <w:rPr>
                <w:rFonts w:ascii="仿宋" w:hAnsi="仿宋"/>
                <w:color w:val="auto"/>
                <w:kern w:val="0"/>
                <w:sz w:val="24"/>
                <w:szCs w:val="24"/>
              </w:rPr>
            </w:pPr>
          </w:p>
        </w:tc>
        <w:tc>
          <w:tcPr>
            <w:tcW w:w="4592"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绥棱县省级补助资金侵蚀沟治理工程（2024年）</w:t>
            </w:r>
          </w:p>
        </w:tc>
        <w:tc>
          <w:tcPr>
            <w:tcW w:w="1769"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3370.8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Align w:val="center"/>
          </w:tcPr>
          <w:p>
            <w:pPr>
              <w:spacing w:line="240" w:lineRule="auto"/>
              <w:ind w:firstLine="0" w:firstLineChars="0"/>
              <w:jc w:val="center"/>
              <w:rPr>
                <w:rFonts w:hint="eastAsia" w:ascii="仿宋" w:hAnsi="仿宋" w:eastAsia="仿宋"/>
                <w:color w:val="auto"/>
                <w:kern w:val="0"/>
                <w:sz w:val="24"/>
                <w:szCs w:val="24"/>
                <w:lang w:eastAsia="zh-CN"/>
              </w:rPr>
            </w:pPr>
            <w:r>
              <w:rPr>
                <w:rFonts w:hint="eastAsia" w:ascii="仿宋" w:hAnsi="仿宋"/>
                <w:color w:val="auto"/>
                <w:kern w:val="0"/>
                <w:sz w:val="24"/>
                <w:szCs w:val="24"/>
              </w:rPr>
              <w:t>1</w:t>
            </w:r>
            <w:r>
              <w:rPr>
                <w:rFonts w:hint="eastAsia" w:ascii="仿宋" w:hAnsi="仿宋"/>
                <w:color w:val="auto"/>
                <w:kern w:val="0"/>
                <w:sz w:val="24"/>
                <w:szCs w:val="24"/>
                <w:lang w:val="en-US" w:eastAsia="zh-CN"/>
              </w:rPr>
              <w:t>5</w:t>
            </w:r>
          </w:p>
        </w:tc>
        <w:tc>
          <w:tcPr>
            <w:tcW w:w="1154" w:type="dxa"/>
            <w:vMerge w:val="continue"/>
            <w:vAlign w:val="center"/>
          </w:tcPr>
          <w:p>
            <w:pPr>
              <w:spacing w:line="240" w:lineRule="auto"/>
              <w:ind w:firstLine="0" w:firstLineChars="0"/>
              <w:jc w:val="center"/>
              <w:rPr>
                <w:rFonts w:ascii="仿宋" w:hAnsi="仿宋"/>
                <w:color w:val="auto"/>
                <w:kern w:val="0"/>
                <w:sz w:val="24"/>
                <w:szCs w:val="24"/>
              </w:rPr>
            </w:pPr>
          </w:p>
        </w:tc>
        <w:tc>
          <w:tcPr>
            <w:tcW w:w="4592"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绥棱县省级补助资金侵蚀沟治理工程（2025年）</w:t>
            </w:r>
          </w:p>
        </w:tc>
        <w:tc>
          <w:tcPr>
            <w:tcW w:w="1769" w:type="dxa"/>
            <w:vAlign w:val="center"/>
          </w:tcPr>
          <w:p>
            <w:pPr>
              <w:spacing w:line="240" w:lineRule="auto"/>
              <w:ind w:firstLine="0" w:firstLineChars="0"/>
              <w:jc w:val="center"/>
              <w:rPr>
                <w:rFonts w:ascii="仿宋" w:hAnsi="仿宋"/>
                <w:color w:val="auto"/>
                <w:kern w:val="0"/>
                <w:sz w:val="24"/>
                <w:szCs w:val="24"/>
              </w:rPr>
            </w:pPr>
            <w:r>
              <w:rPr>
                <w:rFonts w:hint="eastAsia" w:ascii="仿宋" w:hAnsi="仿宋"/>
                <w:color w:val="auto"/>
                <w:kern w:val="0"/>
                <w:sz w:val="24"/>
                <w:szCs w:val="24"/>
              </w:rPr>
              <w:t>3010.2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3" w:type="dxa"/>
            <w:gridSpan w:val="3"/>
            <w:vAlign w:val="center"/>
          </w:tcPr>
          <w:p>
            <w:pPr>
              <w:spacing w:line="240" w:lineRule="auto"/>
              <w:ind w:firstLine="0" w:firstLineChars="0"/>
              <w:jc w:val="center"/>
              <w:rPr>
                <w:rFonts w:ascii="仿宋" w:hAnsi="仿宋"/>
                <w:b/>
                <w:bCs/>
                <w:color w:val="auto"/>
                <w:kern w:val="0"/>
                <w:sz w:val="24"/>
                <w:szCs w:val="24"/>
              </w:rPr>
            </w:pPr>
            <w:r>
              <w:rPr>
                <w:rFonts w:hint="eastAsia" w:ascii="仿宋" w:hAnsi="仿宋"/>
                <w:b/>
                <w:bCs/>
                <w:color w:val="auto"/>
                <w:kern w:val="0"/>
                <w:sz w:val="24"/>
                <w:szCs w:val="24"/>
              </w:rPr>
              <w:t>小计</w:t>
            </w:r>
          </w:p>
        </w:tc>
        <w:tc>
          <w:tcPr>
            <w:tcW w:w="1769" w:type="dxa"/>
            <w:vAlign w:val="center"/>
          </w:tcPr>
          <w:p>
            <w:pPr>
              <w:spacing w:line="240" w:lineRule="auto"/>
              <w:ind w:firstLine="0" w:firstLineChars="0"/>
              <w:jc w:val="center"/>
              <w:rPr>
                <w:rFonts w:ascii="仿宋" w:hAnsi="仿宋" w:eastAsia="仿宋" w:cs="仿宋"/>
                <w:b/>
                <w:bCs/>
                <w:i w:val="0"/>
                <w:iCs w:val="0"/>
                <w:color w:val="000000"/>
                <w:kern w:val="2"/>
                <w:sz w:val="24"/>
                <w:szCs w:val="24"/>
                <w:u w:val="none"/>
                <w:lang w:val="en-US" w:eastAsia="zh-CN" w:bidi="ar-SA"/>
              </w:rPr>
            </w:pPr>
            <w:r>
              <w:rPr>
                <w:rFonts w:hint="eastAsia" w:ascii="仿宋" w:hAnsi="仿宋"/>
                <w:b/>
                <w:bCs/>
                <w:color w:val="auto"/>
                <w:kern w:val="0"/>
                <w:sz w:val="24"/>
                <w:szCs w:val="24"/>
                <w:lang w:val="en-US" w:eastAsia="zh-CN"/>
              </w:rPr>
              <w:t>10198.56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3" w:type="dxa"/>
            <w:gridSpan w:val="3"/>
            <w:vAlign w:val="center"/>
          </w:tcPr>
          <w:p>
            <w:pPr>
              <w:spacing w:line="240" w:lineRule="auto"/>
              <w:ind w:firstLine="0" w:firstLineChars="0"/>
              <w:jc w:val="center"/>
              <w:rPr>
                <w:rFonts w:ascii="仿宋" w:hAnsi="仿宋"/>
                <w:b/>
                <w:bCs/>
                <w:color w:val="auto"/>
                <w:kern w:val="0"/>
                <w:sz w:val="24"/>
                <w:szCs w:val="24"/>
              </w:rPr>
            </w:pPr>
            <w:r>
              <w:rPr>
                <w:rFonts w:hint="eastAsia" w:ascii="仿宋" w:hAnsi="仿宋"/>
                <w:b/>
                <w:bCs/>
                <w:color w:val="auto"/>
                <w:kern w:val="0"/>
                <w:sz w:val="24"/>
                <w:szCs w:val="24"/>
              </w:rPr>
              <w:t>合计</w:t>
            </w:r>
          </w:p>
        </w:tc>
        <w:tc>
          <w:tcPr>
            <w:tcW w:w="1769" w:type="dxa"/>
            <w:vAlign w:val="center"/>
          </w:tcPr>
          <w:p>
            <w:pPr>
              <w:spacing w:line="240" w:lineRule="auto"/>
              <w:ind w:firstLine="0" w:firstLineChars="0"/>
              <w:jc w:val="center"/>
              <w:rPr>
                <w:rFonts w:hint="eastAsia" w:ascii="仿宋" w:hAnsi="仿宋"/>
                <w:b/>
                <w:bCs/>
                <w:color w:val="auto"/>
                <w:kern w:val="0"/>
                <w:sz w:val="24"/>
                <w:szCs w:val="24"/>
                <w:lang w:val="en-US" w:eastAsia="zh-CN"/>
              </w:rPr>
            </w:pPr>
            <w:r>
              <w:rPr>
                <w:rFonts w:hint="eastAsia" w:ascii="仿宋" w:hAnsi="仿宋"/>
                <w:b/>
                <w:bCs/>
                <w:color w:val="auto"/>
                <w:kern w:val="0"/>
                <w:sz w:val="24"/>
                <w:szCs w:val="24"/>
                <w:lang w:val="en-US" w:eastAsia="zh-CN"/>
              </w:rPr>
              <w:t>53543.42</w:t>
            </w:r>
          </w:p>
        </w:tc>
      </w:tr>
    </w:tbl>
    <w:p>
      <w:pPr>
        <w:pStyle w:val="3"/>
        <w:ind w:firstLine="0" w:firstLineChars="0"/>
        <w:rPr>
          <w:rFonts w:ascii="Times New Roman" w:hAnsi="Times New Roman" w:eastAsia="仿宋" w:cs="Times New Roman"/>
          <w:color w:val="auto"/>
        </w:rPr>
      </w:pPr>
      <w:bookmarkStart w:id="54" w:name="_Toc31390"/>
      <w:r>
        <w:rPr>
          <w:rFonts w:hint="eastAsia" w:ascii="Times New Roman" w:hAnsi="Times New Roman" w:eastAsia="仿宋" w:cs="Times New Roman"/>
          <w:color w:val="auto"/>
        </w:rPr>
        <w:t>9</w:t>
      </w:r>
      <w:r>
        <w:rPr>
          <w:rFonts w:ascii="Times New Roman" w:hAnsi="Times New Roman" w:eastAsia="仿宋" w:cs="Times New Roman"/>
          <w:color w:val="auto"/>
        </w:rPr>
        <w:t>.2资金来源</w:t>
      </w:r>
      <w:bookmarkEnd w:id="54"/>
    </w:p>
    <w:p>
      <w:pPr>
        <w:ind w:firstLine="560"/>
        <w:rPr>
          <w:color w:val="auto"/>
          <w:highlight w:val="yellow"/>
        </w:rPr>
      </w:pPr>
      <w:r>
        <w:rPr>
          <w:rFonts w:hint="eastAsia"/>
          <w:color w:val="auto"/>
        </w:rPr>
        <w:t>绥棱县的生态功能保护修复是一项综合性强、多方位、多层次的系统工程，非独立的部门能单独完成的，也不是短期就能达到目标的，</w:t>
      </w:r>
      <w:bookmarkStart w:id="99" w:name="_GoBack"/>
      <w:bookmarkEnd w:id="99"/>
      <w:r>
        <w:rPr>
          <w:rFonts w:hint="eastAsia"/>
          <w:color w:val="auto"/>
        </w:rPr>
        <w:t>综合来看要完成区域内的生态恢复与治理是一项长期而艰巨的任务。因此，对绥棱县的生态恢复治理需要做好长期奋战、持续治理的工作准备，在国家、地方财政投入的基础上，在建立多层次的投资渠道，应积极探索集体、个人共同投资的机制办法，进而实现多层次、多渠道筹集生态恢复治理建设基金。在国家、地方和群众共同建设的前提下，积极完善生态恢复的多元化投资机制，积极吸引外资，用活外部资金，丰富拓展资金渠道。</w:t>
      </w:r>
    </w:p>
    <w:p>
      <w:pPr>
        <w:ind w:firstLine="560"/>
        <w:rPr>
          <w:color w:val="auto"/>
          <w:highlight w:val="yellow"/>
        </w:rPr>
      </w:pPr>
      <w:r>
        <w:rPr>
          <w:rFonts w:hint="eastAsia"/>
          <w:color w:val="auto"/>
        </w:rPr>
        <w:t>绥棱县具有河流密集、水土流失分布广、森林林分质量不高、树种结构单一、城乡环境污染等问题，易发生水土流失、病虫害、</w:t>
      </w:r>
      <w:r>
        <w:rPr>
          <w:rFonts w:eastAsia="仿宋_GB2312" w:cs="Times New Roman"/>
          <w:color w:val="auto"/>
        </w:rPr>
        <w:t>生态系统质量和稳定性偏低</w:t>
      </w:r>
      <w:r>
        <w:rPr>
          <w:rFonts w:hint="eastAsia"/>
          <w:color w:val="auto"/>
        </w:rPr>
        <w:t>等，使得其生态恢复与生态环境建设需要大量的投入支持。一系列不稳定的恶劣生态环境对当地人民群众、社会经济发展造成了极大地限制。当前，区域内未治理及治理效果不佳的区域是整个地区生态恢复与生态环境建设的重点，治理任务艰巨，治理难度大，治理成本高。因此，绥棱县生态恢复与治理经费需要国家资金、政策的大力支持。</w:t>
      </w:r>
    </w:p>
    <w:p>
      <w:pPr>
        <w:ind w:firstLine="560"/>
        <w:rPr>
          <w:color w:val="auto"/>
        </w:rPr>
      </w:pPr>
      <w:r>
        <w:rPr>
          <w:rFonts w:hint="eastAsia"/>
          <w:color w:val="auto"/>
        </w:rPr>
        <w:t>生态恢复作为一项投资大、效益长远的公益性事业，在争取提高中央投资标准、加大投入力度、降低地方配套资金比例的同时，省、市、县政府也需加大投入，充分发挥公共财政在生态恢复生态建设中的导向作用，把生态恢复、生态建设资金列入财政预算，并随着财政收入的增加确保按一定比例逐年增长。各级政府应该把生态恢复建设列入基本建设计划，纳入各级政府财政预算，建立稳定的资金渠道，逐步建立生态恢复基金，逐年增加，滚动发展。要坚持国家、地方、集体、个人，多渠道、多层次、全方位筹集生态恢复建设资金，层层落实国家生态恢复与地方配套资金。按照“谁投资、谁经营、谁受益”的原则，鼓励社会上的各种投资主体向上台恢复生态建设投资。积极引进世行、亚行贷款及外商投资和外国政府无偿援助等外资，参与跨生态恢复建设项目和水土流失综合治理项目，加快生态恢复进程。</w:t>
      </w:r>
    </w:p>
    <w:p>
      <w:pPr>
        <w:ind w:firstLine="560"/>
        <w:rPr>
          <w:color w:val="auto"/>
        </w:rPr>
      </w:pPr>
      <w:r>
        <w:rPr>
          <w:rFonts w:hint="eastAsia"/>
          <w:color w:val="auto"/>
        </w:rPr>
        <w:t>拓宽投资、融资渠道，建立积极稳健的投资、融资政策体系，运用更加灵活的融资手段，鼓励和支持社会资金参与，吸收各类投资主体，以独资、合资、承包、租赁、拍卖、股份合作制等不同形式参与绥棱县地区生态恢复生态建设项目，逐步建立政府主导、市场推进、社会参与、多元化投入的投资融资机制。</w:t>
      </w:r>
    </w:p>
    <w:p>
      <w:pPr>
        <w:ind w:firstLine="560"/>
        <w:rPr>
          <w:rFonts w:cs="Times New Roman"/>
          <w:color w:val="auto"/>
        </w:rPr>
      </w:pPr>
    </w:p>
    <w:p>
      <w:pPr>
        <w:pStyle w:val="15"/>
        <w:ind w:left="560" w:firstLine="400"/>
        <w:rPr>
          <w:rFonts w:cs="Times New Roman"/>
          <w:color w:val="auto"/>
        </w:rPr>
      </w:pPr>
    </w:p>
    <w:p>
      <w:pPr>
        <w:ind w:firstLine="560"/>
        <w:rPr>
          <w:rFonts w:cs="Times New Roman"/>
          <w:color w:val="auto"/>
        </w:rPr>
      </w:pPr>
      <w:r>
        <w:rPr>
          <w:rFonts w:cs="Times New Roman"/>
          <w:color w:val="auto"/>
        </w:rPr>
        <w:br w:type="page"/>
      </w:r>
    </w:p>
    <w:p>
      <w:pPr>
        <w:pStyle w:val="2"/>
        <w:ind w:firstLine="0" w:firstLineChars="0"/>
        <w:rPr>
          <w:rFonts w:hint="default" w:ascii="Times New Roman" w:hAnsi="Times New Roman" w:eastAsia="仿宋"/>
          <w:color w:val="auto"/>
        </w:rPr>
      </w:pPr>
      <w:bookmarkStart w:id="55" w:name="_Toc28750"/>
      <w:r>
        <w:rPr>
          <w:rFonts w:ascii="Times New Roman" w:hAnsi="Times New Roman" w:eastAsia="仿宋"/>
          <w:color w:val="auto"/>
        </w:rPr>
        <w:t>10</w:t>
      </w:r>
      <w:r>
        <w:rPr>
          <w:rFonts w:hint="default" w:ascii="Times New Roman" w:hAnsi="Times New Roman" w:eastAsia="仿宋"/>
          <w:color w:val="auto"/>
        </w:rPr>
        <w:t xml:space="preserve"> 规划实施效益</w:t>
      </w:r>
      <w:bookmarkEnd w:id="55"/>
    </w:p>
    <w:p>
      <w:pPr>
        <w:pStyle w:val="3"/>
        <w:ind w:firstLine="0" w:firstLineChars="0"/>
        <w:rPr>
          <w:rFonts w:ascii="Times New Roman" w:hAnsi="Times New Roman" w:eastAsia="仿宋" w:cs="Times New Roman"/>
          <w:color w:val="auto"/>
        </w:rPr>
      </w:pPr>
      <w:bookmarkStart w:id="56" w:name="_Toc13778"/>
      <w:r>
        <w:rPr>
          <w:rFonts w:hint="eastAsia" w:ascii="Times New Roman" w:hAnsi="Times New Roman" w:eastAsia="仿宋" w:cs="Times New Roman"/>
          <w:color w:val="auto"/>
        </w:rPr>
        <w:t>10</w:t>
      </w:r>
      <w:r>
        <w:rPr>
          <w:rFonts w:ascii="Times New Roman" w:hAnsi="Times New Roman" w:eastAsia="仿宋" w:cs="Times New Roman"/>
          <w:color w:val="auto"/>
        </w:rPr>
        <w:t>.1生态效益</w:t>
      </w:r>
      <w:bookmarkEnd w:id="56"/>
    </w:p>
    <w:p>
      <w:pPr>
        <w:ind w:firstLine="560"/>
        <w:rPr>
          <w:rFonts w:cs="Times New Roman"/>
          <w:color w:val="auto"/>
        </w:rPr>
      </w:pPr>
      <w:r>
        <w:rPr>
          <w:rFonts w:hint="eastAsia" w:cs="Times New Roman"/>
          <w:color w:val="auto"/>
        </w:rPr>
        <w:t>通过对绥棱县进行生态修复分区，实施绥棱县生态功能保护修复规划，构建生态系统保护修复整体格局，环境受体情况得到进一度改善，环境容载量扩大，生态环境质量稳步上升。将构建整体格局，进一步提升区域和流域生态安全水平。在规划期内，人工造林新增90.53公顷，村屯绿化17.15公顷，侵蚀沟采取沟头防护、修建坝体等综合治理措施，逐步增加森林覆盖率，提升区域水源涵养能力，水土流失得到有效控制，生态系统稳定性显著提升。</w:t>
      </w:r>
    </w:p>
    <w:p>
      <w:pPr>
        <w:pStyle w:val="3"/>
        <w:ind w:firstLine="0" w:firstLineChars="0"/>
        <w:rPr>
          <w:rFonts w:ascii="Times New Roman" w:hAnsi="Times New Roman" w:eastAsia="仿宋" w:cs="Times New Roman"/>
          <w:color w:val="auto"/>
        </w:rPr>
      </w:pPr>
      <w:bookmarkStart w:id="57" w:name="_Toc31484"/>
      <w:r>
        <w:rPr>
          <w:rFonts w:hint="eastAsia" w:ascii="Times New Roman" w:hAnsi="Times New Roman" w:eastAsia="仿宋" w:cs="Times New Roman"/>
          <w:color w:val="auto"/>
        </w:rPr>
        <w:t>10</w:t>
      </w:r>
      <w:r>
        <w:rPr>
          <w:rFonts w:ascii="Times New Roman" w:hAnsi="Times New Roman" w:eastAsia="仿宋" w:cs="Times New Roman"/>
          <w:color w:val="auto"/>
        </w:rPr>
        <w:t>.2社会效益</w:t>
      </w:r>
      <w:bookmarkEnd w:id="57"/>
    </w:p>
    <w:p>
      <w:pPr>
        <w:ind w:firstLine="560"/>
        <w:rPr>
          <w:color w:val="auto"/>
        </w:rPr>
      </w:pPr>
      <w:r>
        <w:rPr>
          <w:rFonts w:hint="eastAsia"/>
          <w:color w:val="auto"/>
        </w:rPr>
        <w:t>规划的实施使得区域生态功能得到有效改善，解决了区域存在的部分生态问题，人居环境质量得到改善和提升，有利于促进人们身体健康，提高人们的生活质量。生态功能保护修复项目建设能够提高生态产品的有效供给，满足人民日益增长的美好生活需要，对人们追求自然、返璞归真、观光休闲的绿色消费需求和相关产业的发展具有十分重要的带动作用。</w:t>
      </w:r>
    </w:p>
    <w:p>
      <w:pPr>
        <w:ind w:firstLine="560"/>
        <w:rPr>
          <w:color w:val="auto"/>
        </w:rPr>
      </w:pPr>
      <w:r>
        <w:rPr>
          <w:rFonts w:hint="eastAsia"/>
          <w:color w:val="auto"/>
        </w:rPr>
        <w:t>规划项目的建设可以增加就业机会。规划项目的实施，需要大量劳动力的投入，可增加当地的就业机会，促进当地经济效益可持续发展，对缓解社会就业、保持社会安定团结和促进农村经济快速发展起到积极的作用。</w:t>
      </w:r>
    </w:p>
    <w:p>
      <w:pPr>
        <w:ind w:firstLine="560"/>
        <w:rPr>
          <w:rFonts w:cs="Times New Roman"/>
          <w:b/>
          <w:color w:val="auto"/>
        </w:rPr>
      </w:pPr>
      <w:r>
        <w:rPr>
          <w:rFonts w:hint="eastAsia"/>
          <w:color w:val="auto"/>
        </w:rPr>
        <w:t>规划项目秉承“绿水青山就是金山银山”、“不搞大开发、共抓大保护”和“山水林田湖草沙是一个生命共同体”的生态发展理念，倡导生态优先、绿色发展，增强全县人民的生态意识，提高人的审美能力和弘扬绿色生态文明精神。</w:t>
      </w:r>
    </w:p>
    <w:p>
      <w:pPr>
        <w:pStyle w:val="3"/>
        <w:ind w:firstLine="0" w:firstLineChars="0"/>
        <w:rPr>
          <w:rFonts w:ascii="Times New Roman" w:hAnsi="Times New Roman" w:eastAsia="仿宋" w:cs="Times New Roman"/>
          <w:color w:val="auto"/>
        </w:rPr>
      </w:pPr>
      <w:bookmarkStart w:id="58" w:name="_Toc3598"/>
      <w:r>
        <w:rPr>
          <w:rFonts w:hint="eastAsia" w:ascii="Times New Roman" w:hAnsi="Times New Roman" w:eastAsia="仿宋" w:cs="Times New Roman"/>
          <w:color w:val="auto"/>
        </w:rPr>
        <w:t>10</w:t>
      </w:r>
      <w:r>
        <w:rPr>
          <w:rFonts w:ascii="Times New Roman" w:hAnsi="Times New Roman" w:eastAsia="仿宋" w:cs="Times New Roman"/>
          <w:color w:val="auto"/>
        </w:rPr>
        <w:t>.3经济效益</w:t>
      </w:r>
      <w:bookmarkEnd w:id="58"/>
    </w:p>
    <w:p>
      <w:pPr>
        <w:ind w:firstLine="560"/>
        <w:rPr>
          <w:color w:val="auto"/>
        </w:rPr>
      </w:pPr>
      <w:r>
        <w:rPr>
          <w:rFonts w:hint="eastAsia"/>
          <w:color w:val="auto"/>
        </w:rPr>
        <w:t>规划实施的重点工程</w:t>
      </w:r>
      <w:r>
        <w:rPr>
          <w:color w:val="auto"/>
        </w:rPr>
        <w:t>全部发挥效益后，可产生显著的间接经济效益，如固碳、释氧、净化空气等生态服务价值，将有效遏制森林、河流、湖泊、湿地、动植物资源的过度利用，走向资源合理开发、可持续利用的道路，有利于</w:t>
      </w:r>
      <w:r>
        <w:rPr>
          <w:rFonts w:hint="eastAsia"/>
          <w:color w:val="auto"/>
        </w:rPr>
        <w:t>绥棱县</w:t>
      </w:r>
      <w:r>
        <w:rPr>
          <w:color w:val="auto"/>
        </w:rPr>
        <w:t>可持续发展的长远经济效益。工程</w:t>
      </w:r>
      <w:r>
        <w:rPr>
          <w:rFonts w:hint="eastAsia"/>
          <w:color w:val="auto"/>
        </w:rPr>
        <w:t>的</w:t>
      </w:r>
      <w:r>
        <w:rPr>
          <w:color w:val="auto"/>
        </w:rPr>
        <w:t>实施将改善区域内生态环境状况，特别是减轻水土流失、地质灾害频发等带来的经济损失。</w:t>
      </w:r>
      <w:r>
        <w:rPr>
          <w:rFonts w:hint="eastAsia"/>
          <w:color w:val="auto"/>
        </w:rPr>
        <w:t>绥棱县</w:t>
      </w:r>
      <w:r>
        <w:rPr>
          <w:color w:val="auto"/>
        </w:rPr>
        <w:t>生态环境改善促进生态旅游业发展，更多的农户从事农家乐、民宿等服务接待行业，生态产品价值转化方式更加多样化。</w:t>
      </w:r>
    </w:p>
    <w:p>
      <w:pPr>
        <w:ind w:firstLine="560"/>
        <w:rPr>
          <w:color w:val="auto"/>
        </w:rPr>
      </w:pPr>
      <w:r>
        <w:rPr>
          <w:color w:val="auto"/>
        </w:rPr>
        <w:t>此外，各类自然保护地有众多的野生动物、野生植物及其他自然资源，是一笔巨大的天然财富，具有较高的直接经济价值，也具有较高的观赏价值和潜在利用价值，在确保不破坏地表植被、不影响生物多样性保护前提下，可适度发展生态旅游、休闲康养、特色种植养殖等产业，提高资源利用效率，有利于经济效益的提高。同时，生态系统在给人民提供优质的生态产品的同时，能够为经济社会发展保持后劲、积蓄潜力，协调促进全县经济社会可持续发展。通过开展生态功能保护修复规划项目的建设，</w:t>
      </w:r>
      <w:r>
        <w:rPr>
          <w:rFonts w:hint="eastAsia"/>
          <w:color w:val="auto"/>
        </w:rPr>
        <w:t>有效</w:t>
      </w:r>
      <w:r>
        <w:rPr>
          <w:color w:val="auto"/>
        </w:rPr>
        <w:t>改善生态环境质量、城镇乡村面貌，给当地群众提供一个良好的休憩场所，为乡村振兴发挥重要作用。</w:t>
      </w:r>
    </w:p>
    <w:p>
      <w:pPr>
        <w:pStyle w:val="15"/>
        <w:ind w:left="560" w:firstLine="400"/>
        <w:rPr>
          <w:rFonts w:cs="Times New Roman"/>
          <w:color w:val="auto"/>
        </w:rPr>
      </w:pPr>
    </w:p>
    <w:p>
      <w:pPr>
        <w:ind w:firstLine="560"/>
        <w:rPr>
          <w:rFonts w:cs="Times New Roman"/>
          <w:color w:val="auto"/>
        </w:rPr>
      </w:pPr>
      <w:r>
        <w:rPr>
          <w:rFonts w:cs="Times New Roman"/>
          <w:color w:val="auto"/>
        </w:rPr>
        <w:br w:type="page"/>
      </w:r>
    </w:p>
    <w:p>
      <w:pPr>
        <w:pStyle w:val="2"/>
        <w:ind w:firstLine="0" w:firstLineChars="0"/>
        <w:rPr>
          <w:rFonts w:hint="default" w:ascii="Times New Roman" w:hAnsi="Times New Roman" w:eastAsia="仿宋"/>
          <w:color w:val="auto"/>
        </w:rPr>
      </w:pPr>
      <w:bookmarkStart w:id="59" w:name="_Toc534"/>
      <w:r>
        <w:rPr>
          <w:rFonts w:hint="default" w:ascii="Times New Roman" w:hAnsi="Times New Roman" w:eastAsia="仿宋"/>
          <w:color w:val="auto"/>
        </w:rPr>
        <w:t>1</w:t>
      </w:r>
      <w:r>
        <w:rPr>
          <w:rFonts w:ascii="Times New Roman" w:hAnsi="Times New Roman" w:eastAsia="仿宋"/>
          <w:color w:val="auto"/>
        </w:rPr>
        <w:t>1</w:t>
      </w:r>
      <w:r>
        <w:rPr>
          <w:rFonts w:hint="default" w:ascii="Times New Roman" w:hAnsi="Times New Roman" w:eastAsia="仿宋"/>
          <w:color w:val="auto"/>
        </w:rPr>
        <w:t xml:space="preserve"> 保障措施</w:t>
      </w:r>
      <w:bookmarkEnd w:id="59"/>
    </w:p>
    <w:p>
      <w:pPr>
        <w:pStyle w:val="3"/>
        <w:ind w:firstLine="0" w:firstLineChars="0"/>
        <w:rPr>
          <w:rFonts w:ascii="Times New Roman" w:hAnsi="Times New Roman" w:eastAsia="仿宋" w:cs="Times New Roman"/>
          <w:color w:val="auto"/>
        </w:rPr>
      </w:pPr>
      <w:bookmarkStart w:id="60" w:name="_Toc24435"/>
      <w:r>
        <w:rPr>
          <w:rFonts w:hint="eastAsia" w:ascii="Times New Roman" w:hAnsi="Times New Roman" w:eastAsia="仿宋" w:cs="Times New Roman"/>
          <w:color w:val="auto"/>
        </w:rPr>
        <w:t>11</w:t>
      </w:r>
      <w:r>
        <w:rPr>
          <w:rFonts w:ascii="Times New Roman" w:hAnsi="Times New Roman" w:eastAsia="仿宋" w:cs="Times New Roman"/>
          <w:color w:val="auto"/>
        </w:rPr>
        <w:t>.1 加强组织领导</w:t>
      </w:r>
      <w:bookmarkEnd w:id="60"/>
    </w:p>
    <w:p>
      <w:pPr>
        <w:ind w:firstLine="560"/>
        <w:rPr>
          <w:rFonts w:cs="Times New Roman"/>
          <w:color w:val="auto"/>
        </w:rPr>
      </w:pPr>
      <w:r>
        <w:rPr>
          <w:rFonts w:cs="Times New Roman"/>
          <w:color w:val="auto"/>
        </w:rPr>
        <w:t>建立统筹协调机制。突出协调合作，着力构建高效体系。成立由县委县政府主要领导负责的领导小组，坚持县、乡、村三级联动，强化发改、自然资源、林业、水利、生态环境等部门协同配合，构建</w:t>
      </w:r>
      <w:r>
        <w:rPr>
          <w:rFonts w:hint="eastAsia" w:cs="Times New Roman"/>
          <w:color w:val="auto"/>
        </w:rPr>
        <w:t>全方位的</w:t>
      </w:r>
      <w:r>
        <w:rPr>
          <w:rFonts w:cs="Times New Roman"/>
          <w:color w:val="auto"/>
        </w:rPr>
        <w:t>工作网络。</w:t>
      </w:r>
    </w:p>
    <w:p>
      <w:pPr>
        <w:ind w:firstLine="560"/>
        <w:rPr>
          <w:rFonts w:cs="Times New Roman"/>
          <w:color w:val="auto"/>
        </w:rPr>
      </w:pPr>
      <w:r>
        <w:rPr>
          <w:rFonts w:cs="Times New Roman"/>
          <w:color w:val="auto"/>
        </w:rPr>
        <w:t>强化分工协助。加强跨部门工作协调，县</w:t>
      </w:r>
      <w:r>
        <w:rPr>
          <w:rFonts w:hint="eastAsia" w:cs="Times New Roman"/>
          <w:color w:val="auto"/>
        </w:rPr>
        <w:t>生态环境</w:t>
      </w:r>
      <w:r>
        <w:rPr>
          <w:rFonts w:cs="Times New Roman"/>
          <w:color w:val="auto"/>
        </w:rPr>
        <w:t>部门牵头，会同各相关部门共同做好生态保护修复</w:t>
      </w:r>
      <w:r>
        <w:rPr>
          <w:rFonts w:hint="eastAsia" w:cs="Times New Roman"/>
          <w:color w:val="auto"/>
        </w:rPr>
        <w:t>工程的</w:t>
      </w:r>
      <w:r>
        <w:rPr>
          <w:rFonts w:cs="Times New Roman"/>
          <w:color w:val="auto"/>
        </w:rPr>
        <w:t>建设、管理和运行。各部门依职能落实生态保护修复职责</w:t>
      </w:r>
      <w:r>
        <w:rPr>
          <w:rFonts w:hint="eastAsia" w:cs="Times New Roman"/>
          <w:color w:val="auto"/>
        </w:rPr>
        <w:t>。</w:t>
      </w:r>
    </w:p>
    <w:p>
      <w:pPr>
        <w:pStyle w:val="3"/>
        <w:ind w:firstLine="0" w:firstLineChars="0"/>
        <w:rPr>
          <w:rFonts w:ascii="Times New Roman" w:hAnsi="Times New Roman" w:eastAsia="仿宋" w:cs="Times New Roman"/>
          <w:color w:val="auto"/>
        </w:rPr>
      </w:pPr>
      <w:bookmarkStart w:id="61" w:name="_Toc5999"/>
      <w:r>
        <w:rPr>
          <w:rFonts w:hint="eastAsia" w:ascii="Times New Roman" w:hAnsi="Times New Roman" w:eastAsia="仿宋" w:cs="Times New Roman"/>
          <w:color w:val="auto"/>
        </w:rPr>
        <w:t>11.2 强化制度保障</w:t>
      </w:r>
      <w:bookmarkEnd w:id="61"/>
    </w:p>
    <w:p>
      <w:pPr>
        <w:ind w:firstLine="560"/>
        <w:rPr>
          <w:rFonts w:cs="Times New Roman"/>
          <w:color w:val="auto"/>
        </w:rPr>
      </w:pPr>
      <w:r>
        <w:rPr>
          <w:rFonts w:cs="Times New Roman"/>
          <w:color w:val="auto"/>
        </w:rPr>
        <w:t>建立健全生态保护修复规划实施传导机制，强化横向统筹协调、纵向承上启下的承接指导约束作用。横向上，构建多部门参与的生态保护修复协作框架，畅通协调配合途径，强化与相关专项规划衔接。纵向上，建立县-乡-村三级传导体系。横向与纵向相结合，将生态保护修复目标任务和工程项目层层分解，确保生态修复规划的有效落实。</w:t>
      </w:r>
    </w:p>
    <w:p>
      <w:pPr>
        <w:pStyle w:val="3"/>
        <w:ind w:firstLine="0" w:firstLineChars="0"/>
        <w:rPr>
          <w:rFonts w:ascii="Times New Roman" w:hAnsi="Times New Roman" w:eastAsia="仿宋" w:cs="Times New Roman"/>
          <w:color w:val="auto"/>
        </w:rPr>
      </w:pPr>
      <w:bookmarkStart w:id="62" w:name="_Toc18932"/>
      <w:r>
        <w:rPr>
          <w:rFonts w:ascii="Times New Roman" w:hAnsi="Times New Roman" w:eastAsia="仿宋" w:cs="Times New Roman"/>
          <w:color w:val="auto"/>
        </w:rPr>
        <w:t>1</w:t>
      </w:r>
      <w:r>
        <w:rPr>
          <w:rFonts w:hint="eastAsia" w:ascii="Times New Roman" w:hAnsi="Times New Roman" w:eastAsia="仿宋" w:cs="Times New Roman"/>
          <w:color w:val="auto"/>
        </w:rPr>
        <w:t>1</w:t>
      </w:r>
      <w:r>
        <w:rPr>
          <w:rFonts w:ascii="Times New Roman" w:hAnsi="Times New Roman" w:eastAsia="仿宋" w:cs="Times New Roman"/>
          <w:color w:val="auto"/>
        </w:rPr>
        <w:t>.3 完善技术支撑</w:t>
      </w:r>
      <w:bookmarkEnd w:id="62"/>
    </w:p>
    <w:p>
      <w:pPr>
        <w:ind w:firstLine="560"/>
        <w:rPr>
          <w:rFonts w:cs="Times New Roman"/>
          <w:color w:val="auto"/>
        </w:rPr>
      </w:pPr>
      <w:r>
        <w:rPr>
          <w:rFonts w:cs="Times New Roman"/>
          <w:color w:val="auto"/>
        </w:rPr>
        <w:t>加强人才队伍建设。自然资源、林业、水利、生态环境等主管部门要不断提升自身的业务技术水平。积极培养、引进科技人才，加强职工业务技能培训，提高人员素质，提升管理服务水平。有计划的提供生态修复项目实施成员参加相关业务知识培训，组织项目组成员学习生态保护修复工程的新理论、新技术、新方法，项目组内开展工作交流与总结，完善工作思路，提高项目成员的综合业务能力。建立技术创新激励机制，全面提高技术、管理人员的质量素质，经济上实行质量优质奖励、劣质惩罚的制度。</w:t>
      </w:r>
    </w:p>
    <w:p>
      <w:pPr>
        <w:ind w:firstLine="560"/>
        <w:rPr>
          <w:rFonts w:cs="Times New Roman"/>
          <w:color w:val="auto"/>
        </w:rPr>
      </w:pPr>
      <w:r>
        <w:rPr>
          <w:rFonts w:cs="Times New Roman"/>
          <w:color w:val="auto"/>
        </w:rPr>
        <w:t>加大科技研发支持。加大对生态保护与修复领域科技研发的支持，积极开展区域生态保护、生态经济发展等重大问题和关键、集成技术研究，推进产学研相结合的创新队伍建设和服务平台建设，积极推广先进技术，加快生态保护与建设科技成果转化。</w:t>
      </w:r>
    </w:p>
    <w:p>
      <w:pPr>
        <w:pStyle w:val="3"/>
        <w:ind w:firstLine="0" w:firstLineChars="0"/>
        <w:rPr>
          <w:rFonts w:ascii="Times New Roman" w:hAnsi="Times New Roman" w:eastAsia="仿宋" w:cs="Times New Roman"/>
          <w:color w:val="auto"/>
        </w:rPr>
      </w:pPr>
      <w:bookmarkStart w:id="63" w:name="_Toc28999"/>
      <w:bookmarkStart w:id="64" w:name="_Toc15602"/>
      <w:bookmarkStart w:id="65" w:name="_Toc116051945"/>
      <w:bookmarkStart w:id="66" w:name="_Toc751"/>
      <w:r>
        <w:rPr>
          <w:rFonts w:hint="eastAsia" w:ascii="Times New Roman" w:hAnsi="Times New Roman" w:eastAsia="仿宋" w:cs="Times New Roman"/>
          <w:color w:val="auto"/>
        </w:rPr>
        <w:t>11.4 落实资金投入</w:t>
      </w:r>
      <w:bookmarkEnd w:id="63"/>
      <w:bookmarkEnd w:id="64"/>
      <w:bookmarkEnd w:id="65"/>
      <w:bookmarkEnd w:id="66"/>
    </w:p>
    <w:p>
      <w:pPr>
        <w:ind w:firstLine="560"/>
        <w:rPr>
          <w:rFonts w:cs="Times New Roman"/>
          <w:color w:val="auto"/>
        </w:rPr>
      </w:pPr>
      <w:r>
        <w:rPr>
          <w:rFonts w:hint="eastAsia" w:cs="Times New Roman"/>
          <w:color w:val="auto"/>
        </w:rPr>
        <w:t>（1）</w:t>
      </w:r>
      <w:r>
        <w:rPr>
          <w:rFonts w:cs="Times New Roman"/>
          <w:color w:val="auto"/>
        </w:rPr>
        <w:t>健全财政资金投入</w:t>
      </w:r>
    </w:p>
    <w:p>
      <w:pPr>
        <w:ind w:firstLine="560"/>
        <w:rPr>
          <w:rFonts w:cs="Times New Roman"/>
          <w:color w:val="auto"/>
        </w:rPr>
      </w:pPr>
      <w:r>
        <w:rPr>
          <w:rFonts w:cs="Times New Roman"/>
          <w:color w:val="auto"/>
        </w:rPr>
        <w:t>积极申请国家和省级资金的同时，要加大县级财政生态修复资金投入。对纳入《规划》的生态修复重点工程，做好资金保障，将工程建设资金列入本级政府投资计划，确保财政资金投入与国</w:t>
      </w:r>
      <w:r>
        <w:rPr>
          <w:rFonts w:hint="eastAsia" w:cs="Times New Roman"/>
          <w:color w:val="auto"/>
          <w:lang w:val="en-US" w:eastAsia="zh-CN"/>
        </w:rPr>
        <w:t>家</w:t>
      </w:r>
      <w:r>
        <w:rPr>
          <w:rFonts w:cs="Times New Roman"/>
          <w:color w:val="auto"/>
        </w:rPr>
        <w:t>生态</w:t>
      </w:r>
      <w:r>
        <w:rPr>
          <w:rFonts w:hint="eastAsia" w:cs="Times New Roman"/>
          <w:color w:val="auto"/>
        </w:rPr>
        <w:t>功能保护</w:t>
      </w:r>
      <w:r>
        <w:rPr>
          <w:rFonts w:cs="Times New Roman"/>
          <w:color w:val="auto"/>
        </w:rPr>
        <w:t>修复目标任务相适应。</w:t>
      </w:r>
    </w:p>
    <w:p>
      <w:pPr>
        <w:ind w:firstLine="560"/>
        <w:rPr>
          <w:rFonts w:cs="Times New Roman"/>
          <w:color w:val="auto"/>
        </w:rPr>
      </w:pPr>
      <w:r>
        <w:rPr>
          <w:rFonts w:hint="eastAsia" w:cs="Times New Roman"/>
          <w:color w:val="auto"/>
        </w:rPr>
        <w:t>（2）</w:t>
      </w:r>
      <w:r>
        <w:rPr>
          <w:rFonts w:cs="Times New Roman"/>
          <w:color w:val="auto"/>
        </w:rPr>
        <w:t>拓宽资金筹措渠道</w:t>
      </w:r>
    </w:p>
    <w:p>
      <w:pPr>
        <w:ind w:firstLine="560"/>
        <w:rPr>
          <w:rFonts w:cs="Times New Roman"/>
          <w:color w:val="auto"/>
        </w:rPr>
      </w:pPr>
      <w:r>
        <w:rPr>
          <w:rFonts w:cs="Times New Roman"/>
          <w:color w:val="auto"/>
        </w:rPr>
        <w:t>积极引导社会各方参与，探索多渠道多形式的生态补偿方式，支持鼓励社会资金参与，努力形成多元化的生态环境建设投融资格局。</w:t>
      </w:r>
    </w:p>
    <w:p>
      <w:pPr>
        <w:ind w:firstLine="560"/>
        <w:rPr>
          <w:rFonts w:cs="Times New Roman"/>
          <w:color w:val="auto"/>
        </w:rPr>
      </w:pPr>
      <w:r>
        <w:rPr>
          <w:rFonts w:hint="eastAsia" w:cs="Times New Roman"/>
          <w:color w:val="auto"/>
        </w:rPr>
        <w:t>（3）</w:t>
      </w:r>
      <w:r>
        <w:rPr>
          <w:rFonts w:cs="Times New Roman"/>
          <w:color w:val="auto"/>
        </w:rPr>
        <w:t>压实企业修复责任</w:t>
      </w:r>
    </w:p>
    <w:p>
      <w:pPr>
        <w:ind w:firstLine="560"/>
        <w:rPr>
          <w:rFonts w:cs="Times New Roman"/>
          <w:color w:val="auto"/>
        </w:rPr>
      </w:pPr>
      <w:r>
        <w:rPr>
          <w:rFonts w:cs="Times New Roman"/>
          <w:color w:val="auto"/>
        </w:rPr>
        <w:t>按照“谁破坏、谁修复”的原则，对于企业生产建设活动损毁土地、破坏生态的，由生产建设者或者个人依法履行义务，承担修复或赔偿责任。</w:t>
      </w:r>
    </w:p>
    <w:p>
      <w:pPr>
        <w:pStyle w:val="3"/>
        <w:ind w:firstLine="0" w:firstLineChars="0"/>
        <w:rPr>
          <w:rFonts w:ascii="Times New Roman" w:hAnsi="Times New Roman" w:eastAsia="仿宋" w:cs="Times New Roman"/>
          <w:color w:val="auto"/>
        </w:rPr>
      </w:pPr>
      <w:bookmarkStart w:id="67" w:name="_Toc1679"/>
      <w:r>
        <w:rPr>
          <w:rFonts w:hint="eastAsia" w:ascii="Times New Roman" w:hAnsi="Times New Roman" w:eastAsia="仿宋" w:cs="Times New Roman"/>
          <w:color w:val="auto"/>
        </w:rPr>
        <w:t>11.5 严格评估监管</w:t>
      </w:r>
      <w:bookmarkEnd w:id="67"/>
    </w:p>
    <w:p>
      <w:pPr>
        <w:ind w:firstLine="560"/>
        <w:rPr>
          <w:rFonts w:cs="Times New Roman"/>
          <w:color w:val="auto"/>
        </w:rPr>
      </w:pPr>
      <w:r>
        <w:rPr>
          <w:rFonts w:cs="Times New Roman"/>
          <w:color w:val="auto"/>
        </w:rPr>
        <w:t>健全生态功能保护修复规划实施的定期检查和监督机制，加强规划任务的完成情况考核，追踪重点工程项目进展情况和规划目标完成情况，尝试建立规划实施中期（年度）评估考核机制，专项检查与经常性监督检查相结合，定期评估规划实施成效。</w:t>
      </w:r>
      <w:r>
        <w:rPr>
          <w:rFonts w:hint="eastAsia" w:cs="Times New Roman"/>
          <w:color w:val="auto"/>
          <w:lang w:eastAsia="zh-CN"/>
        </w:rPr>
        <w:t>加大</w:t>
      </w:r>
      <w:r>
        <w:rPr>
          <w:rFonts w:cs="Times New Roman"/>
          <w:color w:val="auto"/>
        </w:rPr>
        <w:t>建设资金审计稽查力度，强化资金使用监督，杜绝截留、挤占、挪用建设资金现象，提升生态修复资金使用效率。加强监督检查和监管执法，建立信用监管机制，实现跨地区跨部门奖惩联动。严禁借生态保护修复之名行开发之实，严禁突破耕地和永久基本农田、生态保护等红线，严禁各类违反法律法规规定的行为。</w:t>
      </w:r>
    </w:p>
    <w:p>
      <w:pPr>
        <w:pStyle w:val="3"/>
        <w:ind w:firstLine="0" w:firstLineChars="0"/>
        <w:rPr>
          <w:rFonts w:ascii="Times New Roman" w:hAnsi="Times New Roman" w:eastAsia="仿宋" w:cs="Times New Roman"/>
          <w:color w:val="auto"/>
        </w:rPr>
      </w:pPr>
      <w:bookmarkStart w:id="68" w:name="_Toc20330"/>
      <w:r>
        <w:rPr>
          <w:rFonts w:hint="eastAsia" w:ascii="Times New Roman" w:hAnsi="Times New Roman" w:eastAsia="仿宋" w:cs="Times New Roman"/>
          <w:color w:val="auto"/>
        </w:rPr>
        <w:t>11.6 做好宣传引导</w:t>
      </w:r>
      <w:bookmarkEnd w:id="68"/>
    </w:p>
    <w:p>
      <w:pPr>
        <w:ind w:firstLine="560"/>
        <w:rPr>
          <w:rFonts w:cs="Times New Roman"/>
          <w:color w:val="auto"/>
        </w:rPr>
        <w:sectPr>
          <w:pgSz w:w="11906" w:h="16838"/>
          <w:pgMar w:top="1440" w:right="1803" w:bottom="1440" w:left="1803" w:header="851" w:footer="992" w:gutter="0"/>
          <w:cols w:space="425" w:num="1"/>
          <w:docGrid w:type="lines" w:linePitch="312" w:charSpace="0"/>
        </w:sectPr>
      </w:pPr>
      <w:r>
        <w:rPr>
          <w:rFonts w:cs="Times New Roman"/>
          <w:color w:val="auto"/>
        </w:rPr>
        <w:t>各有关部门要加强相关政策法规的宣传解读，开展生态保护修复品牌建设，充分利用互联网等各类媒体平台，采取线上、线下等多种方式，积极宣传，传播推广好经验好做法，提升生态保护修复的传播力和影响力，增强社会资本参与的获得感和荣誉感，为社会资本参与生态保护修复营造良好社会氛围。同时充分发挥公众和新闻媒体等社会力量的监督作用，建立公众反馈和监督机制，及时公布规划实施情况，接受社会监督。鼓励公众积极参与生态保护发展，全面共建，全民共享。</w:t>
      </w:r>
    </w:p>
    <w:p>
      <w:pPr>
        <w:ind w:firstLine="0" w:firstLineChars="0"/>
        <w:jc w:val="center"/>
        <w:rPr>
          <w:color w:val="auto"/>
        </w:rPr>
      </w:pPr>
      <w:r>
        <w:rPr>
          <w:color w:val="auto"/>
        </w:rPr>
        <w:drawing>
          <wp:inline distT="0" distB="0" distL="114300" distR="114300">
            <wp:extent cx="5781040" cy="8171815"/>
            <wp:effectExtent l="0" t="0" r="10160" b="635"/>
            <wp:docPr id="3" name="图片 3" descr="附图1 绥棱县行政区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附图1 绥棱县行政区划图"/>
                    <pic:cNvPicPr>
                      <a:picLocks noChangeAspect="1"/>
                    </pic:cNvPicPr>
                  </pic:nvPicPr>
                  <pic:blipFill>
                    <a:blip r:embed="rId57"/>
                    <a:stretch>
                      <a:fillRect/>
                    </a:stretch>
                  </pic:blipFill>
                  <pic:spPr>
                    <a:xfrm>
                      <a:off x="0" y="0"/>
                      <a:ext cx="5781040" cy="8171815"/>
                    </a:xfrm>
                    <a:prstGeom prst="rect">
                      <a:avLst/>
                    </a:prstGeom>
                  </pic:spPr>
                </pic:pic>
              </a:graphicData>
            </a:graphic>
          </wp:inline>
        </w:drawing>
      </w:r>
    </w:p>
    <w:p>
      <w:pPr>
        <w:pStyle w:val="3"/>
        <w:spacing w:before="0" w:after="0" w:line="360" w:lineRule="auto"/>
        <w:ind w:firstLine="0" w:firstLineChars="0"/>
        <w:jc w:val="center"/>
        <w:rPr>
          <w:rFonts w:ascii="Times New Roman" w:hAnsi="Times New Roman" w:eastAsia="仿宋" w:cs="Times New Roman"/>
          <w:color w:val="auto"/>
        </w:rPr>
      </w:pPr>
      <w:bookmarkStart w:id="69" w:name="_Toc6995"/>
      <w:r>
        <w:rPr>
          <w:rFonts w:hint="eastAsia" w:ascii="Times New Roman" w:hAnsi="Times New Roman" w:eastAsia="仿宋" w:cs="Times New Roman"/>
          <w:color w:val="auto"/>
        </w:rPr>
        <w:t>附图1 行政区划图</w:t>
      </w:r>
      <w:bookmarkEnd w:id="69"/>
    </w:p>
    <w:p>
      <w:pPr>
        <w:pStyle w:val="15"/>
        <w:ind w:left="0" w:leftChars="0" w:firstLine="0" w:firstLineChars="0"/>
        <w:rPr>
          <w:rFonts w:cs="Times New Roman"/>
          <w:color w:val="auto"/>
        </w:rPr>
        <w:sectPr>
          <w:pgSz w:w="11906" w:h="16838"/>
          <w:pgMar w:top="1440" w:right="1417" w:bottom="1440" w:left="1417" w:header="851" w:footer="992" w:gutter="0"/>
          <w:cols w:space="0" w:num="1"/>
          <w:docGrid w:type="lines" w:linePitch="312" w:charSpace="0"/>
        </w:sectPr>
      </w:pPr>
    </w:p>
    <w:p>
      <w:pPr>
        <w:ind w:firstLine="0" w:firstLineChars="0"/>
        <w:rPr>
          <w:rFonts w:cs="Times New Roman"/>
          <w:b/>
          <w:color w:val="auto"/>
        </w:rPr>
      </w:pPr>
      <w:r>
        <w:rPr>
          <w:rFonts w:hint="eastAsia"/>
          <w:color w:val="auto"/>
        </w:rPr>
        <w:drawing>
          <wp:inline distT="0" distB="0" distL="114300" distR="114300">
            <wp:extent cx="5908675" cy="8350885"/>
            <wp:effectExtent l="0" t="0" r="15875" b="12065"/>
            <wp:docPr id="5" name="图片 5" descr="附图2 绥棱县地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附图2 绥棱县地形图"/>
                    <pic:cNvPicPr>
                      <a:picLocks noChangeAspect="1"/>
                    </pic:cNvPicPr>
                  </pic:nvPicPr>
                  <pic:blipFill>
                    <a:blip r:embed="rId58"/>
                    <a:stretch>
                      <a:fillRect/>
                    </a:stretch>
                  </pic:blipFill>
                  <pic:spPr>
                    <a:xfrm>
                      <a:off x="0" y="0"/>
                      <a:ext cx="5908675" cy="8350885"/>
                    </a:xfrm>
                    <a:prstGeom prst="rect">
                      <a:avLst/>
                    </a:prstGeom>
                  </pic:spPr>
                </pic:pic>
              </a:graphicData>
            </a:graphic>
          </wp:inline>
        </w:drawing>
      </w:r>
    </w:p>
    <w:p>
      <w:pPr>
        <w:pStyle w:val="3"/>
        <w:spacing w:before="0" w:after="0" w:line="360" w:lineRule="auto"/>
        <w:ind w:firstLine="0" w:firstLineChars="0"/>
        <w:jc w:val="center"/>
        <w:rPr>
          <w:rFonts w:ascii="Times New Roman" w:hAnsi="Times New Roman" w:eastAsia="仿宋" w:cs="Times New Roman"/>
          <w:color w:val="auto"/>
        </w:rPr>
      </w:pPr>
      <w:bookmarkStart w:id="70" w:name="_Toc7962"/>
      <w:r>
        <w:rPr>
          <w:rFonts w:hint="eastAsia" w:ascii="Times New Roman" w:hAnsi="Times New Roman" w:eastAsia="仿宋" w:cs="Times New Roman"/>
          <w:color w:val="auto"/>
        </w:rPr>
        <w:t>附图2 绥棱县地形图</w:t>
      </w:r>
      <w:bookmarkEnd w:id="70"/>
    </w:p>
    <w:p>
      <w:pPr>
        <w:ind w:firstLine="0" w:firstLineChars="0"/>
        <w:rPr>
          <w:rFonts w:cs="Times New Roman"/>
          <w:color w:val="auto"/>
        </w:rPr>
        <w:sectPr>
          <w:pgSz w:w="11906" w:h="16838"/>
          <w:pgMar w:top="1440" w:right="1417" w:bottom="1440" w:left="1417" w:header="851" w:footer="992" w:gutter="0"/>
          <w:cols w:space="0" w:num="1"/>
          <w:docGrid w:type="lines" w:linePitch="312" w:charSpace="0"/>
        </w:sectPr>
      </w:pPr>
    </w:p>
    <w:p>
      <w:pPr>
        <w:pStyle w:val="15"/>
        <w:ind w:left="0" w:leftChars="0" w:firstLine="0" w:firstLineChars="0"/>
        <w:rPr>
          <w:color w:val="auto"/>
        </w:rPr>
      </w:pPr>
      <w:r>
        <w:rPr>
          <w:rFonts w:hint="eastAsia"/>
          <w:color w:val="auto"/>
        </w:rPr>
        <w:drawing>
          <wp:inline distT="0" distB="0" distL="114300" distR="114300">
            <wp:extent cx="5850255" cy="8267700"/>
            <wp:effectExtent l="0" t="0" r="17145" b="0"/>
            <wp:docPr id="6" name="图片 6" descr="附图3 绥棱县水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附图3 绥棱县水系图"/>
                    <pic:cNvPicPr>
                      <a:picLocks noChangeAspect="1"/>
                    </pic:cNvPicPr>
                  </pic:nvPicPr>
                  <pic:blipFill>
                    <a:blip r:embed="rId59"/>
                    <a:stretch>
                      <a:fillRect/>
                    </a:stretch>
                  </pic:blipFill>
                  <pic:spPr>
                    <a:xfrm>
                      <a:off x="0" y="0"/>
                      <a:ext cx="5850255" cy="8267700"/>
                    </a:xfrm>
                    <a:prstGeom prst="rect">
                      <a:avLst/>
                    </a:prstGeom>
                  </pic:spPr>
                </pic:pic>
              </a:graphicData>
            </a:graphic>
          </wp:inline>
        </w:drawing>
      </w:r>
    </w:p>
    <w:p>
      <w:pPr>
        <w:pStyle w:val="3"/>
        <w:spacing w:before="0" w:after="0" w:line="360" w:lineRule="auto"/>
        <w:ind w:firstLine="0" w:firstLineChars="0"/>
        <w:jc w:val="center"/>
        <w:rPr>
          <w:rFonts w:ascii="Times New Roman" w:hAnsi="Times New Roman" w:eastAsia="仿宋" w:cs="Times New Roman"/>
          <w:color w:val="auto"/>
        </w:rPr>
      </w:pPr>
      <w:bookmarkStart w:id="71" w:name="_Toc3183"/>
      <w:r>
        <w:rPr>
          <w:rFonts w:hint="eastAsia" w:ascii="Times New Roman" w:hAnsi="Times New Roman" w:eastAsia="仿宋" w:cs="Times New Roman"/>
          <w:color w:val="auto"/>
        </w:rPr>
        <w:t>附图3 绥棱县水系图</w:t>
      </w:r>
      <w:bookmarkEnd w:id="71"/>
    </w:p>
    <w:p>
      <w:pPr>
        <w:ind w:firstLine="560"/>
        <w:rPr>
          <w:color w:val="auto"/>
        </w:rPr>
        <w:sectPr>
          <w:pgSz w:w="11906" w:h="16838"/>
          <w:pgMar w:top="1440" w:right="1417" w:bottom="1440" w:left="1417" w:header="851" w:footer="992" w:gutter="0"/>
          <w:cols w:space="0" w:num="1"/>
          <w:docGrid w:type="lines" w:linePitch="312" w:charSpace="0"/>
        </w:sectPr>
      </w:pPr>
    </w:p>
    <w:p>
      <w:pPr>
        <w:pStyle w:val="15"/>
        <w:ind w:left="0" w:leftChars="0" w:firstLine="0" w:firstLineChars="0"/>
        <w:rPr>
          <w:color w:val="auto"/>
        </w:rPr>
      </w:pPr>
      <w:r>
        <w:rPr>
          <w:rFonts w:hint="eastAsia"/>
          <w:color w:val="auto"/>
        </w:rPr>
        <w:drawing>
          <wp:inline distT="0" distB="0" distL="114300" distR="114300">
            <wp:extent cx="5831840" cy="8242300"/>
            <wp:effectExtent l="0" t="0" r="16510" b="6350"/>
            <wp:docPr id="10" name="图片 10" descr="附图4 绥棱县土地利用现状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附图4 绥棱县土地利用现状图"/>
                    <pic:cNvPicPr>
                      <a:picLocks noChangeAspect="1"/>
                    </pic:cNvPicPr>
                  </pic:nvPicPr>
                  <pic:blipFill>
                    <a:blip r:embed="rId60"/>
                    <a:stretch>
                      <a:fillRect/>
                    </a:stretch>
                  </pic:blipFill>
                  <pic:spPr>
                    <a:xfrm>
                      <a:off x="0" y="0"/>
                      <a:ext cx="5831840" cy="8242300"/>
                    </a:xfrm>
                    <a:prstGeom prst="rect">
                      <a:avLst/>
                    </a:prstGeom>
                  </pic:spPr>
                </pic:pic>
              </a:graphicData>
            </a:graphic>
          </wp:inline>
        </w:drawing>
      </w:r>
    </w:p>
    <w:p>
      <w:pPr>
        <w:pStyle w:val="3"/>
        <w:spacing w:before="0" w:after="0" w:line="360" w:lineRule="auto"/>
        <w:ind w:firstLine="0" w:firstLineChars="0"/>
        <w:jc w:val="center"/>
        <w:rPr>
          <w:rFonts w:ascii="Times New Roman" w:hAnsi="Times New Roman" w:eastAsia="仿宋" w:cs="Times New Roman"/>
          <w:color w:val="auto"/>
        </w:rPr>
      </w:pPr>
      <w:bookmarkStart w:id="72" w:name="_Toc3299"/>
      <w:r>
        <w:rPr>
          <w:rFonts w:hint="eastAsia" w:ascii="Times New Roman" w:hAnsi="Times New Roman" w:eastAsia="仿宋" w:cs="Times New Roman"/>
          <w:color w:val="auto"/>
        </w:rPr>
        <w:t>附图4 绥棱县土地利用现状图</w:t>
      </w:r>
      <w:bookmarkEnd w:id="72"/>
    </w:p>
    <w:p>
      <w:pPr>
        <w:pStyle w:val="15"/>
        <w:ind w:left="560" w:firstLine="400"/>
        <w:rPr>
          <w:color w:val="auto"/>
        </w:rPr>
        <w:sectPr>
          <w:pgSz w:w="11906" w:h="16838"/>
          <w:pgMar w:top="1440" w:right="1417" w:bottom="1440" w:left="1417" w:header="851" w:footer="992" w:gutter="0"/>
          <w:cols w:space="0" w:num="1"/>
          <w:docGrid w:type="lines" w:linePitch="312" w:charSpace="0"/>
        </w:sectPr>
      </w:pPr>
    </w:p>
    <w:p>
      <w:pPr>
        <w:ind w:firstLine="0" w:firstLineChars="0"/>
        <w:rPr>
          <w:color w:val="auto"/>
        </w:rPr>
      </w:pPr>
      <w:r>
        <w:rPr>
          <w:color w:val="auto"/>
        </w:rPr>
        <w:drawing>
          <wp:inline distT="0" distB="0" distL="114300" distR="114300">
            <wp:extent cx="5850255" cy="8267700"/>
            <wp:effectExtent l="0" t="0" r="17145" b="0"/>
            <wp:docPr id="1" name="图片 1" descr="附图5 绥棱县生态系统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附图5 绥棱县生态系统分布图"/>
                    <pic:cNvPicPr>
                      <a:picLocks noChangeAspect="1"/>
                    </pic:cNvPicPr>
                  </pic:nvPicPr>
                  <pic:blipFill>
                    <a:blip r:embed="rId61"/>
                    <a:stretch>
                      <a:fillRect/>
                    </a:stretch>
                  </pic:blipFill>
                  <pic:spPr>
                    <a:xfrm>
                      <a:off x="0" y="0"/>
                      <a:ext cx="5850255" cy="8267700"/>
                    </a:xfrm>
                    <a:prstGeom prst="rect">
                      <a:avLst/>
                    </a:prstGeom>
                  </pic:spPr>
                </pic:pic>
              </a:graphicData>
            </a:graphic>
          </wp:inline>
        </w:drawing>
      </w:r>
    </w:p>
    <w:p>
      <w:pPr>
        <w:pStyle w:val="3"/>
        <w:spacing w:before="0" w:after="0" w:line="360" w:lineRule="auto"/>
        <w:ind w:firstLine="0" w:firstLineChars="0"/>
        <w:jc w:val="center"/>
        <w:rPr>
          <w:rFonts w:ascii="Times New Roman" w:hAnsi="Times New Roman" w:eastAsia="仿宋" w:cs="Times New Roman"/>
          <w:color w:val="auto"/>
        </w:rPr>
      </w:pPr>
      <w:bookmarkStart w:id="73" w:name="_Toc23263"/>
      <w:r>
        <w:rPr>
          <w:rFonts w:hint="eastAsia" w:ascii="Times New Roman" w:hAnsi="Times New Roman" w:eastAsia="仿宋" w:cs="Times New Roman"/>
          <w:color w:val="auto"/>
        </w:rPr>
        <w:t>附图5 绥棱县生态系统分布图</w:t>
      </w:r>
      <w:bookmarkEnd w:id="73"/>
    </w:p>
    <w:p>
      <w:pPr>
        <w:pStyle w:val="15"/>
        <w:ind w:left="560" w:firstLine="400"/>
        <w:rPr>
          <w:color w:val="auto"/>
        </w:rPr>
        <w:sectPr>
          <w:pgSz w:w="11906" w:h="16838"/>
          <w:pgMar w:top="1440" w:right="1417" w:bottom="1440" w:left="1417" w:header="851" w:footer="992" w:gutter="0"/>
          <w:cols w:space="0" w:num="1"/>
          <w:docGrid w:type="lines" w:linePitch="312" w:charSpace="0"/>
        </w:sectPr>
      </w:pPr>
    </w:p>
    <w:p>
      <w:pPr>
        <w:pStyle w:val="15"/>
        <w:ind w:left="0" w:leftChars="0" w:firstLine="0" w:firstLineChars="0"/>
        <w:rPr>
          <w:color w:val="auto"/>
        </w:rPr>
      </w:pPr>
      <w:r>
        <w:rPr>
          <w:color w:val="auto"/>
        </w:rPr>
        <w:drawing>
          <wp:inline distT="0" distB="0" distL="114300" distR="114300">
            <wp:extent cx="5797550" cy="8193405"/>
            <wp:effectExtent l="0" t="0" r="12700" b="17145"/>
            <wp:docPr id="4" name="图片 4" descr="附图6 绥棱县自然保护地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附图6 绥棱县自然保护地分布图"/>
                    <pic:cNvPicPr>
                      <a:picLocks noChangeAspect="1"/>
                    </pic:cNvPicPr>
                  </pic:nvPicPr>
                  <pic:blipFill>
                    <a:blip r:embed="rId62"/>
                    <a:stretch>
                      <a:fillRect/>
                    </a:stretch>
                  </pic:blipFill>
                  <pic:spPr>
                    <a:xfrm>
                      <a:off x="0" y="0"/>
                      <a:ext cx="5797550" cy="8193405"/>
                    </a:xfrm>
                    <a:prstGeom prst="rect">
                      <a:avLst/>
                    </a:prstGeom>
                  </pic:spPr>
                </pic:pic>
              </a:graphicData>
            </a:graphic>
          </wp:inline>
        </w:drawing>
      </w:r>
    </w:p>
    <w:p>
      <w:pPr>
        <w:pStyle w:val="3"/>
        <w:spacing w:before="0" w:after="0" w:line="360" w:lineRule="auto"/>
        <w:ind w:firstLine="0" w:firstLineChars="0"/>
        <w:jc w:val="center"/>
        <w:rPr>
          <w:rFonts w:ascii="Times New Roman" w:hAnsi="Times New Roman" w:eastAsia="仿宋" w:cs="Times New Roman"/>
          <w:color w:val="auto"/>
        </w:rPr>
      </w:pPr>
      <w:bookmarkStart w:id="74" w:name="_Toc18640"/>
      <w:r>
        <w:rPr>
          <w:rFonts w:hint="eastAsia" w:ascii="Times New Roman" w:hAnsi="Times New Roman" w:eastAsia="仿宋" w:cs="Times New Roman"/>
          <w:color w:val="auto"/>
        </w:rPr>
        <w:t>附图6 绥棱县自然保护地分布图</w:t>
      </w:r>
      <w:bookmarkEnd w:id="74"/>
    </w:p>
    <w:p>
      <w:pPr>
        <w:pStyle w:val="15"/>
        <w:ind w:left="560" w:firstLine="400"/>
        <w:rPr>
          <w:color w:val="auto"/>
        </w:rPr>
        <w:sectPr>
          <w:pgSz w:w="11906" w:h="16838"/>
          <w:pgMar w:top="1440" w:right="1417" w:bottom="1440" w:left="1417" w:header="851" w:footer="992" w:gutter="0"/>
          <w:cols w:space="0" w:num="1"/>
          <w:docGrid w:type="lines" w:linePitch="312" w:charSpace="0"/>
        </w:sectPr>
      </w:pPr>
    </w:p>
    <w:p>
      <w:pPr>
        <w:ind w:firstLine="0" w:firstLineChars="0"/>
        <w:rPr>
          <w:color w:val="auto"/>
        </w:rPr>
      </w:pPr>
      <w:r>
        <w:rPr>
          <w:color w:val="auto"/>
        </w:rPr>
        <w:drawing>
          <wp:inline distT="0" distB="0" distL="114300" distR="114300">
            <wp:extent cx="5755005" cy="8133080"/>
            <wp:effectExtent l="0" t="0" r="17145" b="1270"/>
            <wp:docPr id="11" name="图片 11" descr="附图7 绥棱县水源涵养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附图7 绥棱县水源涵养量"/>
                    <pic:cNvPicPr>
                      <a:picLocks noChangeAspect="1"/>
                    </pic:cNvPicPr>
                  </pic:nvPicPr>
                  <pic:blipFill>
                    <a:blip r:embed="rId63"/>
                    <a:stretch>
                      <a:fillRect/>
                    </a:stretch>
                  </pic:blipFill>
                  <pic:spPr>
                    <a:xfrm>
                      <a:off x="0" y="0"/>
                      <a:ext cx="5755005" cy="8133080"/>
                    </a:xfrm>
                    <a:prstGeom prst="rect">
                      <a:avLst/>
                    </a:prstGeom>
                  </pic:spPr>
                </pic:pic>
              </a:graphicData>
            </a:graphic>
          </wp:inline>
        </w:drawing>
      </w:r>
    </w:p>
    <w:p>
      <w:pPr>
        <w:pStyle w:val="3"/>
        <w:spacing w:before="0" w:after="0" w:line="360" w:lineRule="auto"/>
        <w:ind w:firstLine="0" w:firstLineChars="0"/>
        <w:jc w:val="center"/>
        <w:rPr>
          <w:rFonts w:ascii="Times New Roman" w:hAnsi="Times New Roman" w:eastAsia="仿宋" w:cs="Times New Roman"/>
          <w:color w:val="auto"/>
        </w:rPr>
      </w:pPr>
      <w:bookmarkStart w:id="75" w:name="_Toc25980"/>
      <w:r>
        <w:rPr>
          <w:rFonts w:hint="eastAsia" w:ascii="Times New Roman" w:hAnsi="Times New Roman" w:eastAsia="仿宋" w:cs="Times New Roman"/>
          <w:color w:val="auto"/>
        </w:rPr>
        <w:t>附图7 绥棱县水源涵养量分布图</w:t>
      </w:r>
      <w:bookmarkEnd w:id="75"/>
    </w:p>
    <w:p>
      <w:pPr>
        <w:ind w:firstLine="560"/>
        <w:rPr>
          <w:color w:val="auto"/>
        </w:rPr>
        <w:sectPr>
          <w:pgSz w:w="11906" w:h="16838"/>
          <w:pgMar w:top="1440" w:right="1417" w:bottom="1440" w:left="1417" w:header="851" w:footer="992" w:gutter="0"/>
          <w:cols w:space="0" w:num="1"/>
          <w:docGrid w:type="lines" w:linePitch="312" w:charSpace="0"/>
        </w:sectPr>
      </w:pPr>
    </w:p>
    <w:p>
      <w:pPr>
        <w:pStyle w:val="3"/>
        <w:spacing w:before="0" w:after="0" w:line="360" w:lineRule="auto"/>
        <w:ind w:firstLine="0" w:firstLineChars="0"/>
        <w:jc w:val="center"/>
        <w:rPr>
          <w:rFonts w:ascii="Times New Roman" w:hAnsi="Times New Roman" w:eastAsia="仿宋" w:cs="Times New Roman"/>
          <w:color w:val="auto"/>
        </w:rPr>
      </w:pPr>
      <w:bookmarkStart w:id="76" w:name="_Toc3020"/>
      <w:bookmarkStart w:id="77" w:name="_Toc20845"/>
      <w:r>
        <w:rPr>
          <w:rFonts w:ascii="Times New Roman" w:hAnsi="Times New Roman" w:eastAsia="仿宋" w:cs="Times New Roman"/>
          <w:color w:val="auto"/>
        </w:rPr>
        <w:drawing>
          <wp:inline distT="0" distB="0" distL="114300" distR="114300">
            <wp:extent cx="5755005" cy="8133080"/>
            <wp:effectExtent l="0" t="0" r="17145" b="1270"/>
            <wp:docPr id="8" name="图片 8" descr="附图8 绥棱县降雨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附图8 绥棱县降雨量"/>
                    <pic:cNvPicPr>
                      <a:picLocks noChangeAspect="1"/>
                    </pic:cNvPicPr>
                  </pic:nvPicPr>
                  <pic:blipFill>
                    <a:blip r:embed="rId64"/>
                    <a:stretch>
                      <a:fillRect/>
                    </a:stretch>
                  </pic:blipFill>
                  <pic:spPr>
                    <a:xfrm>
                      <a:off x="0" y="0"/>
                      <a:ext cx="5755005" cy="8133080"/>
                    </a:xfrm>
                    <a:prstGeom prst="rect">
                      <a:avLst/>
                    </a:prstGeom>
                  </pic:spPr>
                </pic:pic>
              </a:graphicData>
            </a:graphic>
          </wp:inline>
        </w:drawing>
      </w:r>
      <w:bookmarkEnd w:id="76"/>
      <w:bookmarkEnd w:id="77"/>
    </w:p>
    <w:p>
      <w:pPr>
        <w:pStyle w:val="3"/>
        <w:spacing w:before="0" w:after="0" w:line="360" w:lineRule="auto"/>
        <w:ind w:firstLine="0" w:firstLineChars="0"/>
        <w:jc w:val="center"/>
        <w:rPr>
          <w:rFonts w:ascii="Times New Roman" w:hAnsi="Times New Roman" w:eastAsia="仿宋" w:cs="Times New Roman"/>
          <w:color w:val="auto"/>
        </w:rPr>
        <w:sectPr>
          <w:pgSz w:w="11906" w:h="16838"/>
          <w:pgMar w:top="1440" w:right="1417" w:bottom="1440" w:left="1417" w:header="851" w:footer="992" w:gutter="0"/>
          <w:cols w:space="0" w:num="1"/>
          <w:docGrid w:type="lines" w:linePitch="312" w:charSpace="0"/>
        </w:sectPr>
      </w:pPr>
      <w:bookmarkStart w:id="78" w:name="_Toc10093"/>
      <w:r>
        <w:rPr>
          <w:rFonts w:hint="eastAsia" w:ascii="Times New Roman" w:hAnsi="Times New Roman" w:eastAsia="仿宋" w:cs="Times New Roman"/>
          <w:color w:val="auto"/>
        </w:rPr>
        <w:t>附图8 绥棱县降雨量分布图</w:t>
      </w:r>
      <w:bookmarkEnd w:id="78"/>
    </w:p>
    <w:p>
      <w:pPr>
        <w:ind w:firstLine="0" w:firstLineChars="0"/>
        <w:rPr>
          <w:color w:val="auto"/>
        </w:rPr>
      </w:pPr>
      <w:r>
        <w:rPr>
          <w:color w:val="auto"/>
        </w:rPr>
        <w:drawing>
          <wp:inline distT="0" distB="0" distL="114300" distR="114300">
            <wp:extent cx="5706745" cy="8065770"/>
            <wp:effectExtent l="0" t="0" r="8255" b="11430"/>
            <wp:docPr id="13" name="图片 13" descr="附图9降雨侵蚀力因子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附图9降雨侵蚀力因子分布图"/>
                    <pic:cNvPicPr>
                      <a:picLocks noChangeAspect="1"/>
                    </pic:cNvPicPr>
                  </pic:nvPicPr>
                  <pic:blipFill>
                    <a:blip r:embed="rId65"/>
                    <a:stretch>
                      <a:fillRect/>
                    </a:stretch>
                  </pic:blipFill>
                  <pic:spPr>
                    <a:xfrm>
                      <a:off x="0" y="0"/>
                      <a:ext cx="5706745" cy="8065770"/>
                    </a:xfrm>
                    <a:prstGeom prst="rect">
                      <a:avLst/>
                    </a:prstGeom>
                  </pic:spPr>
                </pic:pic>
              </a:graphicData>
            </a:graphic>
          </wp:inline>
        </w:drawing>
      </w:r>
    </w:p>
    <w:p>
      <w:pPr>
        <w:pStyle w:val="3"/>
        <w:spacing w:before="0" w:after="0" w:line="360" w:lineRule="auto"/>
        <w:ind w:firstLine="0" w:firstLineChars="0"/>
        <w:jc w:val="center"/>
        <w:rPr>
          <w:rFonts w:ascii="Times New Roman" w:hAnsi="Times New Roman" w:eastAsia="仿宋" w:cs="Times New Roman"/>
          <w:color w:val="auto"/>
        </w:rPr>
      </w:pPr>
      <w:bookmarkStart w:id="79" w:name="_Toc30946"/>
      <w:r>
        <w:rPr>
          <w:rFonts w:hint="eastAsia" w:ascii="Times New Roman" w:hAnsi="Times New Roman" w:eastAsia="仿宋" w:cs="Times New Roman"/>
          <w:color w:val="auto"/>
        </w:rPr>
        <w:t>附图9 绥棱县降雨侵蚀力因子分布图</w:t>
      </w:r>
      <w:bookmarkEnd w:id="79"/>
    </w:p>
    <w:p>
      <w:pPr>
        <w:pStyle w:val="3"/>
        <w:spacing w:before="0" w:after="0" w:line="360" w:lineRule="auto"/>
        <w:ind w:firstLine="0" w:firstLineChars="0"/>
        <w:jc w:val="center"/>
        <w:rPr>
          <w:rFonts w:ascii="Times New Roman" w:hAnsi="Times New Roman" w:eastAsia="仿宋" w:cs="Times New Roman"/>
          <w:color w:val="auto"/>
        </w:rPr>
        <w:sectPr>
          <w:pgSz w:w="11906" w:h="16838"/>
          <w:pgMar w:top="1440" w:right="1417" w:bottom="1440" w:left="1417" w:header="851" w:footer="992" w:gutter="0"/>
          <w:cols w:space="0" w:num="1"/>
          <w:docGrid w:type="lines" w:linePitch="312" w:charSpace="0"/>
        </w:sectPr>
      </w:pPr>
    </w:p>
    <w:p>
      <w:pPr>
        <w:ind w:firstLine="0" w:firstLineChars="0"/>
        <w:rPr>
          <w:color w:val="auto"/>
        </w:rPr>
      </w:pPr>
      <w:r>
        <w:rPr>
          <w:rFonts w:hint="eastAsia"/>
          <w:color w:val="auto"/>
        </w:rPr>
        <w:drawing>
          <wp:inline distT="0" distB="0" distL="114300" distR="114300">
            <wp:extent cx="5735320" cy="8105775"/>
            <wp:effectExtent l="0" t="0" r="17780" b="9525"/>
            <wp:docPr id="14" name="图片 14" descr="附图10 绥棱县砂粒百分含量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附图10 绥棱县砂粒百分含量分布图"/>
                    <pic:cNvPicPr>
                      <a:picLocks noChangeAspect="1"/>
                    </pic:cNvPicPr>
                  </pic:nvPicPr>
                  <pic:blipFill>
                    <a:blip r:embed="rId66"/>
                    <a:stretch>
                      <a:fillRect/>
                    </a:stretch>
                  </pic:blipFill>
                  <pic:spPr>
                    <a:xfrm>
                      <a:off x="0" y="0"/>
                      <a:ext cx="5735320" cy="8105775"/>
                    </a:xfrm>
                    <a:prstGeom prst="rect">
                      <a:avLst/>
                    </a:prstGeom>
                  </pic:spPr>
                </pic:pic>
              </a:graphicData>
            </a:graphic>
          </wp:inline>
        </w:drawing>
      </w:r>
    </w:p>
    <w:p>
      <w:pPr>
        <w:pStyle w:val="3"/>
        <w:spacing w:before="0" w:after="0" w:line="360" w:lineRule="auto"/>
        <w:ind w:firstLine="0" w:firstLineChars="0"/>
        <w:jc w:val="center"/>
        <w:rPr>
          <w:rFonts w:ascii="Times New Roman" w:hAnsi="Times New Roman" w:eastAsia="仿宋" w:cs="Times New Roman"/>
          <w:color w:val="auto"/>
        </w:rPr>
      </w:pPr>
      <w:bookmarkStart w:id="80" w:name="_Toc26452"/>
      <w:r>
        <w:rPr>
          <w:rFonts w:hint="eastAsia" w:ascii="Times New Roman" w:hAnsi="Times New Roman" w:eastAsia="仿宋" w:cs="Times New Roman"/>
          <w:color w:val="auto"/>
        </w:rPr>
        <w:t>附图10 绥棱县砂粒百分含量分布图</w:t>
      </w:r>
      <w:bookmarkEnd w:id="80"/>
    </w:p>
    <w:p>
      <w:pPr>
        <w:ind w:firstLine="562"/>
        <w:rPr>
          <w:rFonts w:cs="Times New Roman"/>
          <w:b/>
          <w:color w:val="auto"/>
        </w:rPr>
      </w:pPr>
      <w:r>
        <w:rPr>
          <w:rFonts w:hint="eastAsia" w:cs="Times New Roman"/>
          <w:b/>
          <w:color w:val="auto"/>
        </w:rPr>
        <w:br w:type="page"/>
      </w:r>
    </w:p>
    <w:p>
      <w:pPr>
        <w:ind w:firstLine="0" w:firstLineChars="0"/>
        <w:rPr>
          <w:color w:val="auto"/>
        </w:rPr>
      </w:pPr>
      <w:r>
        <w:rPr>
          <w:color w:val="auto"/>
        </w:rPr>
        <w:drawing>
          <wp:inline distT="0" distB="0" distL="114300" distR="114300">
            <wp:extent cx="5755005" cy="8133080"/>
            <wp:effectExtent l="0" t="0" r="17145" b="1270"/>
            <wp:docPr id="16" name="图片 16" descr="附图11 绥棱县粉粒百分含量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附图11 绥棱县粉粒百分含量分布图"/>
                    <pic:cNvPicPr>
                      <a:picLocks noChangeAspect="1"/>
                    </pic:cNvPicPr>
                  </pic:nvPicPr>
                  <pic:blipFill>
                    <a:blip r:embed="rId67"/>
                    <a:stretch>
                      <a:fillRect/>
                    </a:stretch>
                  </pic:blipFill>
                  <pic:spPr>
                    <a:xfrm>
                      <a:off x="0" y="0"/>
                      <a:ext cx="5755005" cy="8133080"/>
                    </a:xfrm>
                    <a:prstGeom prst="rect">
                      <a:avLst/>
                    </a:prstGeom>
                  </pic:spPr>
                </pic:pic>
              </a:graphicData>
            </a:graphic>
          </wp:inline>
        </w:drawing>
      </w:r>
    </w:p>
    <w:p>
      <w:pPr>
        <w:pStyle w:val="3"/>
        <w:spacing w:before="0" w:after="0" w:line="360" w:lineRule="auto"/>
        <w:ind w:firstLine="0" w:firstLineChars="0"/>
        <w:jc w:val="center"/>
        <w:rPr>
          <w:rFonts w:ascii="Times New Roman" w:hAnsi="Times New Roman" w:eastAsia="仿宋" w:cs="Times New Roman"/>
          <w:color w:val="auto"/>
        </w:rPr>
        <w:sectPr>
          <w:pgSz w:w="11906" w:h="16838"/>
          <w:pgMar w:top="1440" w:right="1417" w:bottom="1440" w:left="1417" w:header="851" w:footer="992" w:gutter="0"/>
          <w:cols w:space="0" w:num="1"/>
          <w:docGrid w:type="lines" w:linePitch="312" w:charSpace="0"/>
        </w:sectPr>
      </w:pPr>
      <w:bookmarkStart w:id="81" w:name="_Toc7167"/>
      <w:r>
        <w:rPr>
          <w:rFonts w:hint="eastAsia" w:ascii="Times New Roman" w:hAnsi="Times New Roman" w:eastAsia="仿宋" w:cs="Times New Roman"/>
          <w:color w:val="auto"/>
        </w:rPr>
        <w:t>附图11 绥棱县粉粒百分含量分布图</w:t>
      </w:r>
      <w:bookmarkEnd w:id="81"/>
    </w:p>
    <w:p>
      <w:pPr>
        <w:ind w:firstLine="0" w:firstLineChars="0"/>
        <w:rPr>
          <w:color w:val="auto"/>
        </w:rPr>
      </w:pPr>
      <w:r>
        <w:rPr>
          <w:color w:val="auto"/>
        </w:rPr>
        <w:drawing>
          <wp:inline distT="0" distB="0" distL="114300" distR="114300">
            <wp:extent cx="5755005" cy="8133080"/>
            <wp:effectExtent l="0" t="0" r="17145" b="1270"/>
            <wp:docPr id="17" name="图片 17" descr="附图12 绥棱县黏粒百分含量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附图12 绥棱县黏粒百分含量分布图"/>
                    <pic:cNvPicPr>
                      <a:picLocks noChangeAspect="1"/>
                    </pic:cNvPicPr>
                  </pic:nvPicPr>
                  <pic:blipFill>
                    <a:blip r:embed="rId68"/>
                    <a:stretch>
                      <a:fillRect/>
                    </a:stretch>
                  </pic:blipFill>
                  <pic:spPr>
                    <a:xfrm>
                      <a:off x="0" y="0"/>
                      <a:ext cx="5755005" cy="8133080"/>
                    </a:xfrm>
                    <a:prstGeom prst="rect">
                      <a:avLst/>
                    </a:prstGeom>
                  </pic:spPr>
                </pic:pic>
              </a:graphicData>
            </a:graphic>
          </wp:inline>
        </w:drawing>
      </w:r>
    </w:p>
    <w:p>
      <w:pPr>
        <w:pStyle w:val="3"/>
        <w:spacing w:before="0" w:after="0" w:line="360" w:lineRule="auto"/>
        <w:ind w:firstLine="0" w:firstLineChars="0"/>
        <w:jc w:val="center"/>
        <w:rPr>
          <w:rFonts w:ascii="Times New Roman" w:hAnsi="Times New Roman" w:eastAsia="仿宋" w:cs="Times New Roman"/>
          <w:color w:val="auto"/>
        </w:rPr>
        <w:sectPr>
          <w:pgSz w:w="11906" w:h="16838"/>
          <w:pgMar w:top="1440" w:right="1417" w:bottom="1440" w:left="1417" w:header="851" w:footer="992" w:gutter="0"/>
          <w:cols w:space="0" w:num="1"/>
          <w:docGrid w:type="lines" w:linePitch="312" w:charSpace="0"/>
        </w:sectPr>
      </w:pPr>
      <w:bookmarkStart w:id="82" w:name="_Toc17577"/>
      <w:r>
        <w:rPr>
          <w:rFonts w:hint="eastAsia" w:ascii="Times New Roman" w:hAnsi="Times New Roman" w:eastAsia="仿宋" w:cs="Times New Roman"/>
          <w:color w:val="auto"/>
        </w:rPr>
        <w:t>附图12 绥棱县黏粒百分含量分布图</w:t>
      </w:r>
      <w:bookmarkEnd w:id="82"/>
    </w:p>
    <w:p>
      <w:pPr>
        <w:ind w:firstLine="0" w:firstLineChars="0"/>
        <w:rPr>
          <w:color w:val="auto"/>
        </w:rPr>
      </w:pPr>
      <w:r>
        <w:rPr>
          <w:color w:val="auto"/>
        </w:rPr>
        <w:drawing>
          <wp:inline distT="0" distB="0" distL="114300" distR="114300">
            <wp:extent cx="5795645" cy="8190230"/>
            <wp:effectExtent l="0" t="0" r="14605" b="1270"/>
            <wp:docPr id="18" name="图片 18" descr="附图13 绥棱县有机碳百分含量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附图13 绥棱县有机碳百分含量分布图"/>
                    <pic:cNvPicPr>
                      <a:picLocks noChangeAspect="1"/>
                    </pic:cNvPicPr>
                  </pic:nvPicPr>
                  <pic:blipFill>
                    <a:blip r:embed="rId69"/>
                    <a:stretch>
                      <a:fillRect/>
                    </a:stretch>
                  </pic:blipFill>
                  <pic:spPr>
                    <a:xfrm>
                      <a:off x="0" y="0"/>
                      <a:ext cx="5795645" cy="8190230"/>
                    </a:xfrm>
                    <a:prstGeom prst="rect">
                      <a:avLst/>
                    </a:prstGeom>
                  </pic:spPr>
                </pic:pic>
              </a:graphicData>
            </a:graphic>
          </wp:inline>
        </w:drawing>
      </w:r>
    </w:p>
    <w:p>
      <w:pPr>
        <w:pStyle w:val="3"/>
        <w:spacing w:before="0" w:after="0" w:line="360" w:lineRule="auto"/>
        <w:ind w:firstLine="0" w:firstLineChars="0"/>
        <w:jc w:val="center"/>
        <w:rPr>
          <w:rFonts w:ascii="Times New Roman" w:hAnsi="Times New Roman" w:eastAsia="仿宋" w:cs="Times New Roman"/>
          <w:color w:val="auto"/>
        </w:rPr>
        <w:sectPr>
          <w:pgSz w:w="11906" w:h="16838"/>
          <w:pgMar w:top="1440" w:right="1417" w:bottom="1440" w:left="1417" w:header="851" w:footer="992" w:gutter="0"/>
          <w:cols w:space="0" w:num="1"/>
          <w:docGrid w:type="lines" w:linePitch="312" w:charSpace="0"/>
        </w:sectPr>
      </w:pPr>
      <w:bookmarkStart w:id="83" w:name="_Toc25245"/>
      <w:r>
        <w:rPr>
          <w:rFonts w:hint="eastAsia" w:ascii="Times New Roman" w:hAnsi="Times New Roman" w:eastAsia="仿宋" w:cs="Times New Roman"/>
          <w:color w:val="auto"/>
        </w:rPr>
        <w:t>附图13 绥棱县有机碳百分含量分布图</w:t>
      </w:r>
      <w:bookmarkEnd w:id="83"/>
    </w:p>
    <w:p>
      <w:pPr>
        <w:ind w:firstLine="0" w:firstLineChars="0"/>
        <w:rPr>
          <w:color w:val="auto"/>
        </w:rPr>
      </w:pPr>
      <w:r>
        <w:rPr>
          <w:color w:val="auto"/>
        </w:rPr>
        <w:drawing>
          <wp:inline distT="0" distB="0" distL="114300" distR="114300">
            <wp:extent cx="5842000" cy="8256905"/>
            <wp:effectExtent l="0" t="0" r="6350" b="10795"/>
            <wp:docPr id="19" name="图片 19" descr="附图14 绥棱县土壤可蚀性因子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附图14 绥棱县土壤可蚀性因子分布图"/>
                    <pic:cNvPicPr>
                      <a:picLocks noChangeAspect="1"/>
                    </pic:cNvPicPr>
                  </pic:nvPicPr>
                  <pic:blipFill>
                    <a:blip r:embed="rId70"/>
                    <a:stretch>
                      <a:fillRect/>
                    </a:stretch>
                  </pic:blipFill>
                  <pic:spPr>
                    <a:xfrm>
                      <a:off x="0" y="0"/>
                      <a:ext cx="5842000" cy="8256905"/>
                    </a:xfrm>
                    <a:prstGeom prst="rect">
                      <a:avLst/>
                    </a:prstGeom>
                  </pic:spPr>
                </pic:pic>
              </a:graphicData>
            </a:graphic>
          </wp:inline>
        </w:drawing>
      </w:r>
    </w:p>
    <w:p>
      <w:pPr>
        <w:pStyle w:val="3"/>
        <w:spacing w:before="0" w:after="0" w:line="360" w:lineRule="auto"/>
        <w:ind w:firstLine="0" w:firstLineChars="0"/>
        <w:jc w:val="center"/>
        <w:rPr>
          <w:color w:val="auto"/>
        </w:rPr>
      </w:pPr>
      <w:bookmarkStart w:id="84" w:name="_Toc15645"/>
      <w:r>
        <w:rPr>
          <w:rFonts w:hint="eastAsia" w:ascii="Times New Roman" w:hAnsi="Times New Roman" w:eastAsia="仿宋" w:cs="Times New Roman"/>
          <w:color w:val="auto"/>
        </w:rPr>
        <w:t>附图14 绥棱县土壤可蚀性因子分布图</w:t>
      </w:r>
      <w:bookmarkEnd w:id="84"/>
    </w:p>
    <w:p>
      <w:pPr>
        <w:ind w:firstLine="560"/>
        <w:rPr>
          <w:color w:val="auto"/>
        </w:rPr>
        <w:sectPr>
          <w:pgSz w:w="11906" w:h="16838"/>
          <w:pgMar w:top="1440" w:right="1417" w:bottom="1440" w:left="1417" w:header="851" w:footer="992" w:gutter="0"/>
          <w:cols w:space="0" w:num="1"/>
          <w:docGrid w:type="lines" w:linePitch="312" w:charSpace="0"/>
        </w:sectPr>
      </w:pPr>
    </w:p>
    <w:p>
      <w:pPr>
        <w:pStyle w:val="15"/>
        <w:ind w:left="0" w:leftChars="0" w:firstLine="0" w:firstLineChars="0"/>
        <w:rPr>
          <w:color w:val="auto"/>
        </w:rPr>
      </w:pPr>
      <w:r>
        <w:rPr>
          <w:rFonts w:hint="eastAsia"/>
          <w:color w:val="auto"/>
        </w:rPr>
        <w:drawing>
          <wp:inline distT="0" distB="0" distL="114300" distR="114300">
            <wp:extent cx="5864225" cy="8288020"/>
            <wp:effectExtent l="0" t="0" r="3175" b="17780"/>
            <wp:docPr id="20" name="图片 20" descr="附图15 绥棱县坡长因子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附图15 绥棱县坡长因子分布图"/>
                    <pic:cNvPicPr>
                      <a:picLocks noChangeAspect="1"/>
                    </pic:cNvPicPr>
                  </pic:nvPicPr>
                  <pic:blipFill>
                    <a:blip r:embed="rId71"/>
                    <a:stretch>
                      <a:fillRect/>
                    </a:stretch>
                  </pic:blipFill>
                  <pic:spPr>
                    <a:xfrm>
                      <a:off x="0" y="0"/>
                      <a:ext cx="5864225" cy="8288020"/>
                    </a:xfrm>
                    <a:prstGeom prst="rect">
                      <a:avLst/>
                    </a:prstGeom>
                  </pic:spPr>
                </pic:pic>
              </a:graphicData>
            </a:graphic>
          </wp:inline>
        </w:drawing>
      </w:r>
    </w:p>
    <w:p>
      <w:pPr>
        <w:pStyle w:val="3"/>
        <w:spacing w:before="0" w:after="0" w:line="360" w:lineRule="auto"/>
        <w:ind w:firstLine="0" w:firstLineChars="0"/>
        <w:jc w:val="center"/>
        <w:rPr>
          <w:rFonts w:ascii="Times New Roman" w:hAnsi="Times New Roman" w:eastAsia="仿宋" w:cs="Times New Roman"/>
          <w:color w:val="auto"/>
        </w:rPr>
      </w:pPr>
      <w:bookmarkStart w:id="85" w:name="_Toc23543"/>
      <w:r>
        <w:rPr>
          <w:rFonts w:hint="eastAsia" w:ascii="Times New Roman" w:hAnsi="Times New Roman" w:eastAsia="仿宋" w:cs="Times New Roman"/>
          <w:color w:val="auto"/>
        </w:rPr>
        <w:t>附图15 绥棱县坡长因子分布图</w:t>
      </w:r>
      <w:bookmarkEnd w:id="85"/>
    </w:p>
    <w:p>
      <w:pPr>
        <w:ind w:firstLine="560"/>
        <w:rPr>
          <w:color w:val="auto"/>
        </w:rPr>
        <w:sectPr>
          <w:pgSz w:w="11906" w:h="16838"/>
          <w:pgMar w:top="1440" w:right="1417" w:bottom="1440" w:left="1417" w:header="851" w:footer="992" w:gutter="0"/>
          <w:cols w:space="0" w:num="1"/>
          <w:docGrid w:type="lines" w:linePitch="312" w:charSpace="0"/>
        </w:sectPr>
      </w:pPr>
    </w:p>
    <w:p>
      <w:pPr>
        <w:ind w:firstLine="0" w:firstLineChars="0"/>
        <w:rPr>
          <w:color w:val="auto"/>
        </w:rPr>
      </w:pPr>
      <w:r>
        <w:rPr>
          <w:rFonts w:hint="eastAsia"/>
          <w:color w:val="auto"/>
        </w:rPr>
        <w:drawing>
          <wp:inline distT="0" distB="0" distL="114300" distR="114300">
            <wp:extent cx="5755005" cy="8133080"/>
            <wp:effectExtent l="0" t="0" r="17145" b="1270"/>
            <wp:docPr id="21" name="图片 21" descr="附图16 绥棱县坡度因子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附图16 绥棱县坡度因子分布图"/>
                    <pic:cNvPicPr>
                      <a:picLocks noChangeAspect="1"/>
                    </pic:cNvPicPr>
                  </pic:nvPicPr>
                  <pic:blipFill>
                    <a:blip r:embed="rId72"/>
                    <a:stretch>
                      <a:fillRect/>
                    </a:stretch>
                  </pic:blipFill>
                  <pic:spPr>
                    <a:xfrm>
                      <a:off x="0" y="0"/>
                      <a:ext cx="5755005" cy="8133080"/>
                    </a:xfrm>
                    <a:prstGeom prst="rect">
                      <a:avLst/>
                    </a:prstGeom>
                  </pic:spPr>
                </pic:pic>
              </a:graphicData>
            </a:graphic>
          </wp:inline>
        </w:drawing>
      </w:r>
    </w:p>
    <w:p>
      <w:pPr>
        <w:pStyle w:val="3"/>
        <w:spacing w:before="0" w:after="0" w:line="360" w:lineRule="auto"/>
        <w:ind w:firstLine="0" w:firstLineChars="0"/>
        <w:jc w:val="center"/>
        <w:rPr>
          <w:rFonts w:ascii="Times New Roman" w:hAnsi="Times New Roman" w:eastAsia="仿宋" w:cs="Times New Roman"/>
          <w:color w:val="auto"/>
        </w:rPr>
      </w:pPr>
      <w:bookmarkStart w:id="86" w:name="_Toc20999"/>
      <w:r>
        <w:rPr>
          <w:rFonts w:hint="eastAsia" w:ascii="Times New Roman" w:hAnsi="Times New Roman" w:eastAsia="仿宋" w:cs="Times New Roman"/>
          <w:color w:val="auto"/>
        </w:rPr>
        <w:t>附图16 绥棱县坡度因子分布图</w:t>
      </w:r>
      <w:bookmarkEnd w:id="86"/>
    </w:p>
    <w:p>
      <w:pPr>
        <w:ind w:firstLine="560"/>
        <w:rPr>
          <w:color w:val="auto"/>
        </w:rPr>
        <w:sectPr>
          <w:pgSz w:w="11906" w:h="16838"/>
          <w:pgMar w:top="1440" w:right="1417" w:bottom="1440" w:left="1417" w:header="851" w:footer="992" w:gutter="0"/>
          <w:cols w:space="0" w:num="1"/>
          <w:docGrid w:type="lines" w:linePitch="312" w:charSpace="0"/>
        </w:sectPr>
      </w:pPr>
    </w:p>
    <w:p>
      <w:pPr>
        <w:pStyle w:val="15"/>
        <w:ind w:left="0" w:leftChars="0" w:firstLine="0" w:firstLineChars="0"/>
        <w:rPr>
          <w:color w:val="auto"/>
        </w:rPr>
      </w:pPr>
      <w:r>
        <w:rPr>
          <w:rFonts w:hint="eastAsia"/>
          <w:color w:val="auto"/>
        </w:rPr>
        <w:drawing>
          <wp:inline distT="0" distB="0" distL="114300" distR="114300">
            <wp:extent cx="5755005" cy="8133080"/>
            <wp:effectExtent l="0" t="0" r="17145" b="1270"/>
            <wp:docPr id="22" name="图片 22" descr="附图17 绥棱县植被覆盖因子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附图17 绥棱县植被覆盖因子分布图"/>
                    <pic:cNvPicPr>
                      <a:picLocks noChangeAspect="1"/>
                    </pic:cNvPicPr>
                  </pic:nvPicPr>
                  <pic:blipFill>
                    <a:blip r:embed="rId73"/>
                    <a:stretch>
                      <a:fillRect/>
                    </a:stretch>
                  </pic:blipFill>
                  <pic:spPr>
                    <a:xfrm>
                      <a:off x="0" y="0"/>
                      <a:ext cx="5755005" cy="8133080"/>
                    </a:xfrm>
                    <a:prstGeom prst="rect">
                      <a:avLst/>
                    </a:prstGeom>
                  </pic:spPr>
                </pic:pic>
              </a:graphicData>
            </a:graphic>
          </wp:inline>
        </w:drawing>
      </w:r>
    </w:p>
    <w:p>
      <w:pPr>
        <w:pStyle w:val="3"/>
        <w:spacing w:before="0" w:after="0" w:line="360" w:lineRule="auto"/>
        <w:ind w:firstLine="0" w:firstLineChars="0"/>
        <w:jc w:val="center"/>
        <w:rPr>
          <w:rFonts w:ascii="Times New Roman" w:hAnsi="Times New Roman" w:eastAsia="仿宋" w:cs="Times New Roman"/>
          <w:color w:val="auto"/>
        </w:rPr>
      </w:pPr>
      <w:bookmarkStart w:id="87" w:name="_Toc7920"/>
      <w:r>
        <w:rPr>
          <w:rFonts w:hint="eastAsia" w:ascii="Times New Roman" w:hAnsi="Times New Roman" w:eastAsia="仿宋" w:cs="Times New Roman"/>
          <w:color w:val="auto"/>
        </w:rPr>
        <w:t>附图17 绥棱县植被覆盖因子分布图</w:t>
      </w:r>
      <w:bookmarkEnd w:id="87"/>
    </w:p>
    <w:p>
      <w:pPr>
        <w:ind w:firstLine="560"/>
        <w:rPr>
          <w:color w:val="auto"/>
        </w:rPr>
        <w:sectPr>
          <w:pgSz w:w="11906" w:h="16838"/>
          <w:pgMar w:top="1440" w:right="1417" w:bottom="1440" w:left="1417" w:header="851" w:footer="992" w:gutter="0"/>
          <w:cols w:space="0" w:num="1"/>
          <w:docGrid w:type="lines" w:linePitch="312" w:charSpace="0"/>
        </w:sectPr>
      </w:pPr>
    </w:p>
    <w:p>
      <w:pPr>
        <w:pStyle w:val="15"/>
        <w:ind w:left="0" w:leftChars="0" w:firstLine="0" w:firstLineChars="0"/>
        <w:rPr>
          <w:color w:val="auto"/>
        </w:rPr>
      </w:pPr>
      <w:r>
        <w:rPr>
          <w:rFonts w:hint="eastAsia"/>
          <w:color w:val="auto"/>
        </w:rPr>
        <w:drawing>
          <wp:inline distT="0" distB="0" distL="114300" distR="114300">
            <wp:extent cx="5755005" cy="8133080"/>
            <wp:effectExtent l="0" t="0" r="17145" b="1270"/>
            <wp:docPr id="23" name="图片 23" descr="附图18 绥棱县土壤保持重要性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附图18 绥棱县土壤保持重要性分布图"/>
                    <pic:cNvPicPr>
                      <a:picLocks noChangeAspect="1"/>
                    </pic:cNvPicPr>
                  </pic:nvPicPr>
                  <pic:blipFill>
                    <a:blip r:embed="rId74"/>
                    <a:stretch>
                      <a:fillRect/>
                    </a:stretch>
                  </pic:blipFill>
                  <pic:spPr>
                    <a:xfrm>
                      <a:off x="0" y="0"/>
                      <a:ext cx="5755005" cy="8133080"/>
                    </a:xfrm>
                    <a:prstGeom prst="rect">
                      <a:avLst/>
                    </a:prstGeom>
                  </pic:spPr>
                </pic:pic>
              </a:graphicData>
            </a:graphic>
          </wp:inline>
        </w:drawing>
      </w:r>
    </w:p>
    <w:p>
      <w:pPr>
        <w:pStyle w:val="3"/>
        <w:spacing w:before="0" w:after="0" w:line="360" w:lineRule="auto"/>
        <w:ind w:firstLine="0" w:firstLineChars="0"/>
        <w:jc w:val="center"/>
        <w:rPr>
          <w:rFonts w:ascii="Times New Roman" w:hAnsi="Times New Roman" w:eastAsia="仿宋" w:cs="Times New Roman"/>
          <w:color w:val="auto"/>
        </w:rPr>
      </w:pPr>
      <w:bookmarkStart w:id="88" w:name="_Toc30234"/>
      <w:r>
        <w:rPr>
          <w:rFonts w:hint="eastAsia" w:ascii="Times New Roman" w:hAnsi="Times New Roman" w:eastAsia="仿宋" w:cs="Times New Roman"/>
          <w:color w:val="auto"/>
        </w:rPr>
        <w:t>附图18 绥棱县土壤保持重要性分布图</w:t>
      </w:r>
      <w:bookmarkEnd w:id="88"/>
    </w:p>
    <w:p>
      <w:pPr>
        <w:pStyle w:val="15"/>
        <w:ind w:left="560" w:firstLine="400"/>
        <w:rPr>
          <w:color w:val="auto"/>
        </w:rPr>
        <w:sectPr>
          <w:pgSz w:w="11906" w:h="16838"/>
          <w:pgMar w:top="1440" w:right="1417" w:bottom="1440" w:left="1417" w:header="851" w:footer="992" w:gutter="0"/>
          <w:cols w:space="0" w:num="1"/>
          <w:docGrid w:type="lines" w:linePitch="312" w:charSpace="0"/>
        </w:sectPr>
      </w:pPr>
    </w:p>
    <w:p>
      <w:pPr>
        <w:ind w:firstLine="0" w:firstLineChars="0"/>
        <w:jc w:val="center"/>
        <w:rPr>
          <w:rFonts w:cs="Times New Roman"/>
          <w:color w:val="auto"/>
        </w:rPr>
      </w:pPr>
      <w:r>
        <w:rPr>
          <w:rFonts w:cs="Times New Roman"/>
          <w:color w:val="auto"/>
        </w:rPr>
        <w:drawing>
          <wp:inline distT="0" distB="0" distL="114300" distR="114300">
            <wp:extent cx="5575935" cy="7800340"/>
            <wp:effectExtent l="0" t="0" r="5715" b="1016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75"/>
                    <a:stretch>
                      <a:fillRect/>
                    </a:stretch>
                  </pic:blipFill>
                  <pic:spPr>
                    <a:xfrm>
                      <a:off x="0" y="0"/>
                      <a:ext cx="5575935" cy="7800340"/>
                    </a:xfrm>
                    <a:prstGeom prst="rect">
                      <a:avLst/>
                    </a:prstGeom>
                    <a:noFill/>
                    <a:ln>
                      <a:noFill/>
                    </a:ln>
                  </pic:spPr>
                </pic:pic>
              </a:graphicData>
            </a:graphic>
          </wp:inline>
        </w:drawing>
      </w:r>
    </w:p>
    <w:p>
      <w:pPr>
        <w:pStyle w:val="3"/>
        <w:spacing w:before="0" w:after="0" w:line="360" w:lineRule="auto"/>
        <w:ind w:firstLine="0" w:firstLineChars="0"/>
        <w:jc w:val="center"/>
        <w:rPr>
          <w:rFonts w:ascii="Times New Roman" w:hAnsi="Times New Roman" w:eastAsia="仿宋" w:cs="Times New Roman"/>
          <w:color w:val="auto"/>
        </w:rPr>
      </w:pPr>
      <w:bookmarkStart w:id="89" w:name="_Toc5470"/>
      <w:r>
        <w:rPr>
          <w:rFonts w:hint="eastAsia" w:ascii="Times New Roman" w:hAnsi="Times New Roman" w:eastAsia="仿宋" w:cs="Times New Roman"/>
          <w:color w:val="auto"/>
        </w:rPr>
        <w:t>附图19 绥棱县水土流失现状图</w:t>
      </w:r>
      <w:bookmarkEnd w:id="89"/>
    </w:p>
    <w:p>
      <w:pPr>
        <w:pStyle w:val="15"/>
        <w:ind w:left="560" w:firstLine="400"/>
        <w:rPr>
          <w:color w:val="auto"/>
        </w:rPr>
      </w:pPr>
    </w:p>
    <w:p>
      <w:pPr>
        <w:pStyle w:val="15"/>
        <w:ind w:left="0" w:leftChars="0" w:firstLine="0" w:firstLineChars="0"/>
        <w:rPr>
          <w:color w:val="auto"/>
        </w:rPr>
      </w:pPr>
      <w:r>
        <w:rPr>
          <w:color w:val="auto"/>
        </w:rPr>
        <w:drawing>
          <wp:inline distT="0" distB="0" distL="114300" distR="114300">
            <wp:extent cx="5755005" cy="8133080"/>
            <wp:effectExtent l="0" t="0" r="17145" b="1270"/>
            <wp:docPr id="24" name="图片 24" descr="附图20 绥棱县湿地生境现状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附图20 绥棱县湿地生境现状图"/>
                    <pic:cNvPicPr>
                      <a:picLocks noChangeAspect="1"/>
                    </pic:cNvPicPr>
                  </pic:nvPicPr>
                  <pic:blipFill>
                    <a:blip r:embed="rId76"/>
                    <a:stretch>
                      <a:fillRect/>
                    </a:stretch>
                  </pic:blipFill>
                  <pic:spPr>
                    <a:xfrm>
                      <a:off x="0" y="0"/>
                      <a:ext cx="5755005" cy="8133080"/>
                    </a:xfrm>
                    <a:prstGeom prst="rect">
                      <a:avLst/>
                    </a:prstGeom>
                  </pic:spPr>
                </pic:pic>
              </a:graphicData>
            </a:graphic>
          </wp:inline>
        </w:drawing>
      </w:r>
    </w:p>
    <w:p>
      <w:pPr>
        <w:pStyle w:val="3"/>
        <w:spacing w:before="0" w:after="0" w:line="360" w:lineRule="auto"/>
        <w:ind w:firstLine="0" w:firstLineChars="0"/>
        <w:jc w:val="center"/>
        <w:rPr>
          <w:rFonts w:ascii="Times New Roman" w:hAnsi="Times New Roman" w:eastAsia="仿宋" w:cs="Times New Roman"/>
          <w:color w:val="auto"/>
        </w:rPr>
      </w:pPr>
      <w:bookmarkStart w:id="90" w:name="_Toc28156"/>
      <w:r>
        <w:rPr>
          <w:rFonts w:hint="eastAsia" w:ascii="Times New Roman" w:hAnsi="Times New Roman" w:eastAsia="仿宋" w:cs="Times New Roman"/>
          <w:color w:val="auto"/>
        </w:rPr>
        <w:t>附图20 绥棱县湿地生境现状图</w:t>
      </w:r>
      <w:bookmarkEnd w:id="90"/>
    </w:p>
    <w:p>
      <w:pPr>
        <w:ind w:firstLine="560"/>
        <w:rPr>
          <w:color w:val="auto"/>
        </w:rPr>
        <w:sectPr>
          <w:pgSz w:w="11906" w:h="16838"/>
          <w:pgMar w:top="1440" w:right="1417" w:bottom="1440" w:left="1417" w:header="851" w:footer="992" w:gutter="0"/>
          <w:cols w:space="0" w:num="1"/>
          <w:docGrid w:type="lines" w:linePitch="312" w:charSpace="0"/>
        </w:sectPr>
      </w:pPr>
    </w:p>
    <w:p>
      <w:pPr>
        <w:pStyle w:val="15"/>
        <w:ind w:left="0" w:leftChars="0" w:firstLine="0" w:firstLineChars="0"/>
        <w:rPr>
          <w:color w:val="auto"/>
        </w:rPr>
      </w:pPr>
      <w:r>
        <w:rPr>
          <w:rFonts w:hint="eastAsia"/>
          <w:color w:val="auto"/>
        </w:rPr>
        <w:drawing>
          <wp:inline distT="0" distB="0" distL="114300" distR="114300">
            <wp:extent cx="5890895" cy="6344920"/>
            <wp:effectExtent l="0" t="0" r="14605" b="17780"/>
            <wp:docPr id="25" name="图片 25" descr="绥棱县附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绥棱县附图1"/>
                    <pic:cNvPicPr>
                      <a:picLocks noChangeAspect="1"/>
                    </pic:cNvPicPr>
                  </pic:nvPicPr>
                  <pic:blipFill>
                    <a:blip r:embed="rId77"/>
                    <a:stretch>
                      <a:fillRect/>
                    </a:stretch>
                  </pic:blipFill>
                  <pic:spPr>
                    <a:xfrm>
                      <a:off x="0" y="0"/>
                      <a:ext cx="5890895" cy="6344920"/>
                    </a:xfrm>
                    <a:prstGeom prst="rect">
                      <a:avLst/>
                    </a:prstGeom>
                  </pic:spPr>
                </pic:pic>
              </a:graphicData>
            </a:graphic>
          </wp:inline>
        </w:drawing>
      </w:r>
    </w:p>
    <w:p>
      <w:pPr>
        <w:pStyle w:val="3"/>
        <w:spacing w:before="0" w:after="0" w:line="360" w:lineRule="auto"/>
        <w:ind w:firstLine="0" w:firstLineChars="0"/>
        <w:jc w:val="center"/>
        <w:rPr>
          <w:rFonts w:ascii="Times New Roman" w:hAnsi="Times New Roman" w:eastAsia="仿宋" w:cs="Times New Roman"/>
          <w:color w:val="auto"/>
        </w:rPr>
      </w:pPr>
      <w:bookmarkStart w:id="91" w:name="_Toc4817"/>
      <w:r>
        <w:rPr>
          <w:rFonts w:hint="eastAsia" w:ascii="Times New Roman" w:hAnsi="Times New Roman" w:eastAsia="仿宋" w:cs="Times New Roman"/>
          <w:color w:val="auto"/>
        </w:rPr>
        <w:t>附图21 绥棱县矿山分布现状图</w:t>
      </w:r>
      <w:bookmarkEnd w:id="91"/>
    </w:p>
    <w:p>
      <w:pPr>
        <w:ind w:firstLine="560"/>
        <w:rPr>
          <w:color w:val="auto"/>
        </w:rPr>
        <w:sectPr>
          <w:pgSz w:w="11906" w:h="16838"/>
          <w:pgMar w:top="1440" w:right="1417" w:bottom="1440" w:left="1417" w:header="851" w:footer="992" w:gutter="0"/>
          <w:cols w:space="0" w:num="1"/>
          <w:docGrid w:type="lines" w:linePitch="312" w:charSpace="0"/>
        </w:sectPr>
      </w:pPr>
    </w:p>
    <w:p>
      <w:pPr>
        <w:pStyle w:val="15"/>
        <w:ind w:left="0" w:leftChars="0" w:firstLine="0" w:firstLineChars="0"/>
        <w:rPr>
          <w:rFonts w:ascii="Times New Roman" w:hAnsi="Times New Roman"/>
          <w:color w:val="auto"/>
        </w:rPr>
      </w:pPr>
      <w:r>
        <w:rPr>
          <w:rFonts w:ascii="Times New Roman" w:hAnsi="Times New Roman"/>
          <w:color w:val="auto"/>
        </w:rPr>
        <w:drawing>
          <wp:inline distT="0" distB="0" distL="114300" distR="114300">
            <wp:extent cx="5572760" cy="7876540"/>
            <wp:effectExtent l="0" t="0" r="8890" b="10160"/>
            <wp:docPr id="26" name="图片 26" descr="附图22 生态功能保护修复分区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附图22 生态功能保护修复分区图"/>
                    <pic:cNvPicPr>
                      <a:picLocks noChangeAspect="1"/>
                    </pic:cNvPicPr>
                  </pic:nvPicPr>
                  <pic:blipFill>
                    <a:blip r:embed="rId78"/>
                    <a:stretch>
                      <a:fillRect/>
                    </a:stretch>
                  </pic:blipFill>
                  <pic:spPr>
                    <a:xfrm>
                      <a:off x="0" y="0"/>
                      <a:ext cx="5572760" cy="7876540"/>
                    </a:xfrm>
                    <a:prstGeom prst="rect">
                      <a:avLst/>
                    </a:prstGeom>
                  </pic:spPr>
                </pic:pic>
              </a:graphicData>
            </a:graphic>
          </wp:inline>
        </w:drawing>
      </w:r>
    </w:p>
    <w:p>
      <w:pPr>
        <w:pStyle w:val="3"/>
        <w:spacing w:before="0" w:after="0" w:line="360" w:lineRule="auto"/>
        <w:ind w:firstLine="0" w:firstLineChars="0"/>
        <w:jc w:val="center"/>
        <w:rPr>
          <w:rFonts w:hint="eastAsia" w:ascii="Times New Roman" w:hAnsi="Times New Roman" w:eastAsia="仿宋" w:cs="Times New Roman"/>
          <w:color w:val="auto"/>
        </w:rPr>
        <w:sectPr>
          <w:pgSz w:w="11906" w:h="16838"/>
          <w:pgMar w:top="1440" w:right="1417" w:bottom="1440" w:left="1417" w:header="851" w:footer="992" w:gutter="0"/>
          <w:cols w:space="0" w:num="1"/>
          <w:docGrid w:type="lines" w:linePitch="312" w:charSpace="0"/>
        </w:sectPr>
      </w:pPr>
      <w:bookmarkStart w:id="92" w:name="_Toc25211"/>
      <w:r>
        <w:rPr>
          <w:rFonts w:hint="eastAsia" w:ascii="Times New Roman" w:hAnsi="Times New Roman" w:eastAsia="仿宋" w:cs="Times New Roman"/>
          <w:color w:val="auto"/>
        </w:rPr>
        <w:t>附图22 生态功能保护修复分区</w:t>
      </w:r>
      <w:bookmarkEnd w:id="92"/>
    </w:p>
    <w:p>
      <w:pPr>
        <w:pStyle w:val="15"/>
        <w:ind w:left="0" w:leftChars="0" w:firstLine="0" w:firstLineChars="0"/>
        <w:jc w:val="center"/>
        <w:rPr>
          <w:rFonts w:hint="eastAsia" w:eastAsia="仿宋"/>
          <w:color w:val="auto"/>
          <w:lang w:eastAsia="zh-CN"/>
        </w:rPr>
      </w:pPr>
      <w:r>
        <w:rPr>
          <w:rFonts w:hint="eastAsia" w:eastAsia="仿宋"/>
          <w:color w:val="auto"/>
          <w:lang w:eastAsia="zh-CN"/>
        </w:rPr>
        <w:drawing>
          <wp:inline distT="0" distB="0" distL="114300" distR="114300">
            <wp:extent cx="7799070" cy="5312410"/>
            <wp:effectExtent l="0" t="0" r="11430" b="2540"/>
            <wp:docPr id="9" name="图片 9" descr="附图23 绥棱县重点保护和修复工程（2021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附图23 绥棱县重点保护和修复工程（2021年）"/>
                    <pic:cNvPicPr>
                      <a:picLocks noChangeAspect="1"/>
                    </pic:cNvPicPr>
                  </pic:nvPicPr>
                  <pic:blipFill>
                    <a:blip r:embed="rId79"/>
                    <a:srcRect t="2649" b="1097"/>
                    <a:stretch>
                      <a:fillRect/>
                    </a:stretch>
                  </pic:blipFill>
                  <pic:spPr>
                    <a:xfrm>
                      <a:off x="0" y="0"/>
                      <a:ext cx="7799070" cy="5312410"/>
                    </a:xfrm>
                    <a:prstGeom prst="rect">
                      <a:avLst/>
                    </a:prstGeom>
                  </pic:spPr>
                </pic:pic>
              </a:graphicData>
            </a:graphic>
          </wp:inline>
        </w:drawing>
      </w:r>
    </w:p>
    <w:p>
      <w:pPr>
        <w:pStyle w:val="3"/>
        <w:spacing w:before="0" w:after="0" w:line="360" w:lineRule="auto"/>
        <w:ind w:firstLine="0" w:firstLineChars="0"/>
        <w:jc w:val="center"/>
        <w:rPr>
          <w:rFonts w:hint="eastAsia" w:ascii="Times New Roman" w:hAnsi="Times New Roman" w:eastAsia="仿宋" w:cs="Times New Roman"/>
          <w:color w:val="auto"/>
          <w:lang w:val="en-US" w:eastAsia="zh-CN"/>
        </w:rPr>
        <w:sectPr>
          <w:pgSz w:w="16838" w:h="11906" w:orient="landscape"/>
          <w:pgMar w:top="1134" w:right="1440" w:bottom="850" w:left="1440" w:header="851" w:footer="283" w:gutter="0"/>
          <w:cols w:space="0" w:num="1"/>
          <w:docGrid w:type="lines" w:linePitch="312" w:charSpace="0"/>
        </w:sectPr>
      </w:pPr>
      <w:bookmarkStart w:id="93" w:name="_Toc6766"/>
      <w:r>
        <w:rPr>
          <w:rFonts w:hint="eastAsia" w:ascii="Times New Roman" w:hAnsi="Times New Roman" w:eastAsia="仿宋" w:cs="Times New Roman"/>
          <w:color w:val="auto"/>
        </w:rPr>
        <w:t>附图2</w:t>
      </w:r>
      <w:r>
        <w:rPr>
          <w:rFonts w:hint="eastAsia" w:ascii="Times New Roman" w:hAnsi="Times New Roman" w:eastAsia="仿宋" w:cs="Times New Roman"/>
          <w:color w:val="auto"/>
          <w:lang w:val="en-US" w:eastAsia="zh-CN"/>
        </w:rPr>
        <w:t>3</w:t>
      </w:r>
      <w:r>
        <w:rPr>
          <w:rFonts w:hint="eastAsia" w:ascii="Times New Roman" w:hAnsi="Times New Roman" w:eastAsia="仿宋" w:cs="Times New Roman"/>
          <w:color w:val="auto"/>
        </w:rPr>
        <w:t xml:space="preserve"> </w:t>
      </w:r>
      <w:r>
        <w:rPr>
          <w:rFonts w:hint="eastAsia" w:ascii="Times New Roman" w:hAnsi="Times New Roman" w:eastAsia="仿宋" w:cs="Times New Roman"/>
          <w:color w:val="auto"/>
          <w:lang w:val="en-US" w:eastAsia="zh-CN"/>
        </w:rPr>
        <w:t>重点工程分布图（2021年）</w:t>
      </w:r>
      <w:bookmarkEnd w:id="93"/>
    </w:p>
    <w:p>
      <w:pPr>
        <w:ind w:left="0" w:leftChars="0" w:firstLine="0" w:firstLineChars="0"/>
        <w:rPr>
          <w:rFonts w:hint="default"/>
          <w:color w:val="auto"/>
          <w:lang w:val="en-US" w:eastAsia="zh-CN"/>
        </w:rPr>
      </w:pPr>
      <w:r>
        <w:rPr>
          <w:rFonts w:hint="default"/>
          <w:color w:val="auto"/>
          <w:lang w:val="en-US" w:eastAsia="zh-CN"/>
        </w:rPr>
        <w:drawing>
          <wp:inline distT="0" distB="0" distL="114300" distR="114300">
            <wp:extent cx="5706745" cy="8067040"/>
            <wp:effectExtent l="0" t="0" r="8255" b="10160"/>
            <wp:docPr id="12" name="图片 12" descr="附图24 2022年重点工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附图24 2022年重点工程"/>
                    <pic:cNvPicPr>
                      <a:picLocks noChangeAspect="1"/>
                    </pic:cNvPicPr>
                  </pic:nvPicPr>
                  <pic:blipFill>
                    <a:blip r:embed="rId80"/>
                    <a:stretch>
                      <a:fillRect/>
                    </a:stretch>
                  </pic:blipFill>
                  <pic:spPr>
                    <a:xfrm>
                      <a:off x="0" y="0"/>
                      <a:ext cx="5706745" cy="8067040"/>
                    </a:xfrm>
                    <a:prstGeom prst="rect">
                      <a:avLst/>
                    </a:prstGeom>
                  </pic:spPr>
                </pic:pic>
              </a:graphicData>
            </a:graphic>
          </wp:inline>
        </w:drawing>
      </w:r>
    </w:p>
    <w:p>
      <w:pPr>
        <w:pStyle w:val="3"/>
        <w:spacing w:before="0" w:after="0" w:line="360" w:lineRule="auto"/>
        <w:ind w:firstLine="0" w:firstLineChars="0"/>
        <w:jc w:val="center"/>
        <w:rPr>
          <w:rFonts w:hint="default" w:ascii="Times New Roman" w:hAnsi="Times New Roman" w:eastAsia="仿宋" w:cs="Times New Roman"/>
          <w:color w:val="auto"/>
          <w:lang w:val="en-US" w:eastAsia="zh-CN"/>
        </w:rPr>
      </w:pPr>
      <w:bookmarkStart w:id="94" w:name="_Toc6509"/>
      <w:r>
        <w:rPr>
          <w:rFonts w:hint="eastAsia" w:ascii="Times New Roman" w:hAnsi="Times New Roman" w:eastAsia="仿宋" w:cs="Times New Roman"/>
          <w:color w:val="auto"/>
        </w:rPr>
        <w:t>附图2</w:t>
      </w:r>
      <w:r>
        <w:rPr>
          <w:rFonts w:hint="eastAsia" w:ascii="Times New Roman" w:hAnsi="Times New Roman" w:eastAsia="仿宋" w:cs="Times New Roman"/>
          <w:color w:val="auto"/>
          <w:lang w:val="en-US" w:eastAsia="zh-CN"/>
        </w:rPr>
        <w:t>4</w:t>
      </w:r>
      <w:r>
        <w:rPr>
          <w:rFonts w:hint="eastAsia" w:ascii="Times New Roman" w:hAnsi="Times New Roman" w:eastAsia="仿宋" w:cs="Times New Roman"/>
          <w:color w:val="auto"/>
        </w:rPr>
        <w:t xml:space="preserve"> </w:t>
      </w:r>
      <w:r>
        <w:rPr>
          <w:rFonts w:hint="eastAsia" w:ascii="Times New Roman" w:hAnsi="Times New Roman" w:eastAsia="仿宋" w:cs="Times New Roman"/>
          <w:color w:val="auto"/>
          <w:lang w:val="en-US" w:eastAsia="zh-CN"/>
        </w:rPr>
        <w:t>重点工程分布图（2022年）</w:t>
      </w:r>
      <w:bookmarkEnd w:id="94"/>
    </w:p>
    <w:p>
      <w:pPr>
        <w:pStyle w:val="15"/>
        <w:rPr>
          <w:color w:val="auto"/>
        </w:rPr>
      </w:pPr>
    </w:p>
    <w:p>
      <w:pPr>
        <w:pStyle w:val="3"/>
        <w:spacing w:before="0" w:after="0" w:line="360" w:lineRule="auto"/>
        <w:ind w:firstLine="0" w:firstLineChars="0"/>
        <w:jc w:val="center"/>
        <w:rPr>
          <w:rFonts w:hint="eastAsia" w:ascii="Times New Roman" w:hAnsi="Times New Roman" w:eastAsia="仿宋" w:cs="Times New Roman"/>
          <w:color w:val="auto"/>
          <w:lang w:eastAsia="zh-CN"/>
        </w:rPr>
      </w:pPr>
      <w:bookmarkStart w:id="95" w:name="_Toc5340"/>
      <w:r>
        <w:rPr>
          <w:rFonts w:hint="eastAsia" w:ascii="Times New Roman" w:hAnsi="Times New Roman" w:eastAsia="仿宋" w:cs="Times New Roman"/>
          <w:color w:val="auto"/>
          <w:lang w:eastAsia="zh-CN"/>
        </w:rPr>
        <w:drawing>
          <wp:inline distT="0" distB="0" distL="114300" distR="114300">
            <wp:extent cx="5755005" cy="8133080"/>
            <wp:effectExtent l="0" t="0" r="17145" b="1270"/>
            <wp:docPr id="30" name="图片 30" descr="附图25 2023年重点工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附图25 2023年重点工程"/>
                    <pic:cNvPicPr>
                      <a:picLocks noChangeAspect="1"/>
                    </pic:cNvPicPr>
                  </pic:nvPicPr>
                  <pic:blipFill>
                    <a:blip r:embed="rId81"/>
                    <a:stretch>
                      <a:fillRect/>
                    </a:stretch>
                  </pic:blipFill>
                  <pic:spPr>
                    <a:xfrm>
                      <a:off x="0" y="0"/>
                      <a:ext cx="5755005" cy="8133080"/>
                    </a:xfrm>
                    <a:prstGeom prst="rect">
                      <a:avLst/>
                    </a:prstGeom>
                  </pic:spPr>
                </pic:pic>
              </a:graphicData>
            </a:graphic>
          </wp:inline>
        </w:drawing>
      </w:r>
      <w:bookmarkEnd w:id="95"/>
    </w:p>
    <w:p>
      <w:pPr>
        <w:pStyle w:val="3"/>
        <w:spacing w:before="0" w:after="0" w:line="360" w:lineRule="auto"/>
        <w:ind w:firstLine="0" w:firstLineChars="0"/>
        <w:jc w:val="center"/>
        <w:rPr>
          <w:rFonts w:hint="default" w:ascii="Times New Roman" w:hAnsi="Times New Roman" w:eastAsia="仿宋" w:cs="Times New Roman"/>
          <w:color w:val="auto"/>
          <w:lang w:val="en-US" w:eastAsia="zh-CN"/>
        </w:rPr>
      </w:pPr>
      <w:bookmarkStart w:id="96" w:name="_Toc12922"/>
      <w:r>
        <w:rPr>
          <w:rFonts w:hint="eastAsia" w:ascii="Times New Roman" w:hAnsi="Times New Roman" w:eastAsia="仿宋" w:cs="Times New Roman"/>
          <w:color w:val="auto"/>
        </w:rPr>
        <w:t>附图2</w:t>
      </w:r>
      <w:r>
        <w:rPr>
          <w:rFonts w:hint="eastAsia" w:ascii="Times New Roman" w:hAnsi="Times New Roman" w:eastAsia="仿宋" w:cs="Times New Roman"/>
          <w:color w:val="auto"/>
          <w:lang w:val="en-US" w:eastAsia="zh-CN"/>
        </w:rPr>
        <w:t>5</w:t>
      </w:r>
      <w:r>
        <w:rPr>
          <w:rFonts w:hint="eastAsia" w:ascii="Times New Roman" w:hAnsi="Times New Roman" w:eastAsia="仿宋" w:cs="Times New Roman"/>
          <w:color w:val="auto"/>
        </w:rPr>
        <w:t xml:space="preserve"> </w:t>
      </w:r>
      <w:r>
        <w:rPr>
          <w:rFonts w:hint="eastAsia" w:ascii="Times New Roman" w:hAnsi="Times New Roman" w:eastAsia="仿宋" w:cs="Times New Roman"/>
          <w:color w:val="auto"/>
          <w:lang w:val="en-US" w:eastAsia="zh-CN"/>
        </w:rPr>
        <w:t>重点工程分布图（2023年）</w:t>
      </w:r>
      <w:bookmarkEnd w:id="96"/>
    </w:p>
    <w:p>
      <w:pPr>
        <w:pStyle w:val="15"/>
        <w:ind w:left="0" w:leftChars="0" w:firstLine="0" w:firstLineChars="0"/>
        <w:rPr>
          <w:rFonts w:hint="eastAsia" w:eastAsia="仿宋"/>
          <w:color w:val="auto"/>
          <w:lang w:eastAsia="zh-CN"/>
        </w:rPr>
      </w:pPr>
      <w:r>
        <w:rPr>
          <w:rFonts w:hint="eastAsia" w:eastAsia="仿宋"/>
          <w:color w:val="auto"/>
          <w:lang w:eastAsia="zh-CN"/>
        </w:rPr>
        <w:drawing>
          <wp:inline distT="0" distB="0" distL="114300" distR="114300">
            <wp:extent cx="5576570" cy="7881620"/>
            <wp:effectExtent l="0" t="0" r="5080" b="5080"/>
            <wp:docPr id="31" name="图片 31" descr="附图26 2024年重点工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附图26 2024年重点工程"/>
                    <pic:cNvPicPr>
                      <a:picLocks noChangeAspect="1"/>
                    </pic:cNvPicPr>
                  </pic:nvPicPr>
                  <pic:blipFill>
                    <a:blip r:embed="rId82"/>
                    <a:stretch>
                      <a:fillRect/>
                    </a:stretch>
                  </pic:blipFill>
                  <pic:spPr>
                    <a:xfrm>
                      <a:off x="0" y="0"/>
                      <a:ext cx="5576570" cy="7881620"/>
                    </a:xfrm>
                    <a:prstGeom prst="rect">
                      <a:avLst/>
                    </a:prstGeom>
                  </pic:spPr>
                </pic:pic>
              </a:graphicData>
            </a:graphic>
          </wp:inline>
        </w:drawing>
      </w:r>
    </w:p>
    <w:p>
      <w:pPr>
        <w:pStyle w:val="3"/>
        <w:spacing w:before="0" w:after="0" w:line="360" w:lineRule="auto"/>
        <w:ind w:firstLine="0" w:firstLineChars="0"/>
        <w:jc w:val="center"/>
        <w:rPr>
          <w:rFonts w:hint="default" w:ascii="Times New Roman" w:hAnsi="Times New Roman" w:eastAsia="仿宋" w:cs="Times New Roman"/>
          <w:color w:val="auto"/>
          <w:lang w:val="en-US" w:eastAsia="zh-CN"/>
        </w:rPr>
      </w:pPr>
      <w:bookmarkStart w:id="97" w:name="_Toc32337"/>
      <w:r>
        <w:rPr>
          <w:rFonts w:hint="eastAsia" w:ascii="Times New Roman" w:hAnsi="Times New Roman" w:eastAsia="仿宋" w:cs="Times New Roman"/>
          <w:color w:val="auto"/>
        </w:rPr>
        <w:t>附图2</w:t>
      </w:r>
      <w:r>
        <w:rPr>
          <w:rFonts w:hint="eastAsia" w:ascii="Times New Roman" w:hAnsi="Times New Roman" w:eastAsia="仿宋" w:cs="Times New Roman"/>
          <w:color w:val="auto"/>
          <w:lang w:val="en-US" w:eastAsia="zh-CN"/>
        </w:rPr>
        <w:t>6</w:t>
      </w:r>
      <w:r>
        <w:rPr>
          <w:rFonts w:hint="eastAsia" w:ascii="Times New Roman" w:hAnsi="Times New Roman" w:eastAsia="仿宋" w:cs="Times New Roman"/>
          <w:color w:val="auto"/>
        </w:rPr>
        <w:t xml:space="preserve"> </w:t>
      </w:r>
      <w:r>
        <w:rPr>
          <w:rFonts w:hint="eastAsia" w:ascii="Times New Roman" w:hAnsi="Times New Roman" w:eastAsia="仿宋" w:cs="Times New Roman"/>
          <w:color w:val="auto"/>
          <w:lang w:val="en-US" w:eastAsia="zh-CN"/>
        </w:rPr>
        <w:t>重点工程分布图（2024年）</w:t>
      </w:r>
      <w:bookmarkEnd w:id="97"/>
    </w:p>
    <w:p>
      <w:pPr>
        <w:rPr>
          <w:color w:val="auto"/>
        </w:rPr>
      </w:pPr>
    </w:p>
    <w:p>
      <w:pPr>
        <w:pStyle w:val="15"/>
        <w:ind w:left="0" w:leftChars="0" w:firstLine="0" w:firstLineChars="0"/>
        <w:rPr>
          <w:rFonts w:hint="eastAsia" w:eastAsia="仿宋"/>
          <w:color w:val="auto"/>
          <w:lang w:eastAsia="zh-CN"/>
        </w:rPr>
      </w:pPr>
      <w:r>
        <w:rPr>
          <w:rFonts w:hint="eastAsia" w:eastAsia="仿宋"/>
          <w:color w:val="auto"/>
          <w:lang w:eastAsia="zh-CN"/>
        </w:rPr>
        <w:drawing>
          <wp:inline distT="0" distB="0" distL="114300" distR="114300">
            <wp:extent cx="5594985" cy="7907020"/>
            <wp:effectExtent l="0" t="0" r="5715" b="17780"/>
            <wp:docPr id="32" name="图片 32" descr="附图27 2025年重点工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附图27 2025年重点工程"/>
                    <pic:cNvPicPr>
                      <a:picLocks noChangeAspect="1"/>
                    </pic:cNvPicPr>
                  </pic:nvPicPr>
                  <pic:blipFill>
                    <a:blip r:embed="rId83"/>
                    <a:stretch>
                      <a:fillRect/>
                    </a:stretch>
                  </pic:blipFill>
                  <pic:spPr>
                    <a:xfrm>
                      <a:off x="0" y="0"/>
                      <a:ext cx="5594985" cy="7907020"/>
                    </a:xfrm>
                    <a:prstGeom prst="rect">
                      <a:avLst/>
                    </a:prstGeom>
                  </pic:spPr>
                </pic:pic>
              </a:graphicData>
            </a:graphic>
          </wp:inline>
        </w:drawing>
      </w:r>
    </w:p>
    <w:p>
      <w:pPr>
        <w:pStyle w:val="3"/>
        <w:spacing w:before="0" w:after="0" w:line="360" w:lineRule="auto"/>
        <w:ind w:firstLine="0" w:firstLineChars="0"/>
        <w:jc w:val="center"/>
        <w:rPr>
          <w:rFonts w:hint="default" w:ascii="Times New Roman" w:hAnsi="Times New Roman" w:eastAsia="仿宋" w:cs="Times New Roman"/>
          <w:color w:val="auto"/>
          <w:lang w:val="en-US" w:eastAsia="zh-CN"/>
        </w:rPr>
      </w:pPr>
      <w:bookmarkStart w:id="98" w:name="_Toc28520"/>
      <w:r>
        <w:rPr>
          <w:rFonts w:hint="eastAsia" w:ascii="Times New Roman" w:hAnsi="Times New Roman" w:eastAsia="仿宋" w:cs="Times New Roman"/>
          <w:color w:val="auto"/>
        </w:rPr>
        <w:t>附图2</w:t>
      </w:r>
      <w:r>
        <w:rPr>
          <w:rFonts w:hint="eastAsia" w:ascii="Times New Roman" w:hAnsi="Times New Roman" w:eastAsia="仿宋" w:cs="Times New Roman"/>
          <w:color w:val="auto"/>
          <w:lang w:val="en-US" w:eastAsia="zh-CN"/>
        </w:rPr>
        <w:t>7</w:t>
      </w:r>
      <w:r>
        <w:rPr>
          <w:rFonts w:hint="eastAsia" w:ascii="Times New Roman" w:hAnsi="Times New Roman" w:eastAsia="仿宋" w:cs="Times New Roman"/>
          <w:color w:val="auto"/>
        </w:rPr>
        <w:t xml:space="preserve"> </w:t>
      </w:r>
      <w:r>
        <w:rPr>
          <w:rFonts w:hint="eastAsia" w:ascii="Times New Roman" w:hAnsi="Times New Roman" w:eastAsia="仿宋" w:cs="Times New Roman"/>
          <w:color w:val="auto"/>
          <w:lang w:val="en-US" w:eastAsia="zh-CN"/>
        </w:rPr>
        <w:t>重点工程分布图（2025年）</w:t>
      </w:r>
      <w:bookmarkEnd w:id="98"/>
    </w:p>
    <w:p>
      <w:pPr>
        <w:rPr>
          <w:color w:val="auto"/>
        </w:rPr>
      </w:pPr>
    </w:p>
    <w:sectPr>
      <w:pgSz w:w="11906" w:h="16838"/>
      <w:pgMar w:top="1440" w:right="1417" w:bottom="1440" w:left="1417" w:header="851" w:footer="567" w:gutter="0"/>
      <w:cols w:space="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ind w:firstLine="480"/>
                          </w:pPr>
                          <w:r>
                            <w:rPr>
                              <w:sz w:val="24"/>
                              <w:szCs w:val="24"/>
                            </w:rPr>
                            <w:fldChar w:fldCharType="begin"/>
                          </w:r>
                          <w:r>
                            <w:rPr>
                              <w:sz w:val="24"/>
                              <w:szCs w:val="24"/>
                            </w:rPr>
                            <w:instrText xml:space="preserve"> PAGE  \* MERGEFORMAT </w:instrText>
                          </w:r>
                          <w:r>
                            <w:rPr>
                              <w:sz w:val="24"/>
                              <w:szCs w:val="24"/>
                            </w:rPr>
                            <w:fldChar w:fldCharType="separate"/>
                          </w:r>
                          <w:r>
                            <w:rPr>
                              <w:sz w:val="24"/>
                              <w:szCs w:val="24"/>
                            </w:rPr>
                            <w:t>76</w:t>
                          </w:r>
                          <w:r>
                            <w:rPr>
                              <w:sz w:val="24"/>
                              <w:szCs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8"/>
                      <w:ind w:firstLine="480"/>
                    </w:pPr>
                    <w:r>
                      <w:rPr>
                        <w:sz w:val="24"/>
                        <w:szCs w:val="24"/>
                      </w:rPr>
                      <w:fldChar w:fldCharType="begin"/>
                    </w:r>
                    <w:r>
                      <w:rPr>
                        <w:sz w:val="24"/>
                        <w:szCs w:val="24"/>
                      </w:rPr>
                      <w:instrText xml:space="preserve"> PAGE  \* MERGEFORMAT </w:instrText>
                    </w:r>
                    <w:r>
                      <w:rPr>
                        <w:sz w:val="24"/>
                        <w:szCs w:val="24"/>
                      </w:rPr>
                      <w:fldChar w:fldCharType="separate"/>
                    </w:r>
                    <w:r>
                      <w:rPr>
                        <w:sz w:val="24"/>
                        <w:szCs w:val="24"/>
                      </w:rPr>
                      <w:t>76</w:t>
                    </w:r>
                    <w:r>
                      <w:rPr>
                        <w:sz w:val="24"/>
                        <w:szCs w:val="24"/>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F01211"/>
    <w:multiLevelType w:val="singleLevel"/>
    <w:tmpl w:val="ACF01211"/>
    <w:lvl w:ilvl="0" w:tentative="0">
      <w:start w:val="3"/>
      <w:numFmt w:val="decimal"/>
      <w:suff w:val="nothing"/>
      <w:lvlText w:val="（%1）"/>
      <w:lvlJc w:val="left"/>
    </w:lvl>
  </w:abstractNum>
  <w:abstractNum w:abstractNumId="1">
    <w:nsid w:val="E650F31B"/>
    <w:multiLevelType w:val="singleLevel"/>
    <w:tmpl w:val="E650F31B"/>
    <w:lvl w:ilvl="0" w:tentative="0">
      <w:start w:val="1"/>
      <w:numFmt w:val="decimal"/>
      <w:suff w:val="nothing"/>
      <w:lvlText w:val="（%1）"/>
      <w:lvlJc w:val="left"/>
    </w:lvl>
  </w:abstractNum>
  <w:abstractNum w:abstractNumId="2">
    <w:nsid w:val="E92B89DB"/>
    <w:multiLevelType w:val="singleLevel"/>
    <w:tmpl w:val="E92B89DB"/>
    <w:lvl w:ilvl="0" w:tentative="0">
      <w:start w:val="1"/>
      <w:numFmt w:val="decimal"/>
      <w:suff w:val="nothing"/>
      <w:lvlText w:val="（%1）"/>
      <w:lvlJc w:val="left"/>
    </w:lvl>
  </w:abstractNum>
  <w:abstractNum w:abstractNumId="3">
    <w:nsid w:val="F71963C7"/>
    <w:multiLevelType w:val="singleLevel"/>
    <w:tmpl w:val="F71963C7"/>
    <w:lvl w:ilvl="0" w:tentative="0">
      <w:start w:val="1"/>
      <w:numFmt w:val="decimal"/>
      <w:suff w:val="nothing"/>
      <w:lvlText w:val="（%1）"/>
      <w:lvlJc w:val="left"/>
    </w:lvl>
  </w:abstractNum>
  <w:abstractNum w:abstractNumId="4">
    <w:nsid w:val="FF411002"/>
    <w:multiLevelType w:val="multilevel"/>
    <w:tmpl w:val="FF411002"/>
    <w:lvl w:ilvl="0" w:tentative="0">
      <w:start w:val="1"/>
      <w:numFmt w:val="decimal"/>
      <w:suff w:val="space"/>
      <w:lvlText w:val="%1"/>
      <w:lvlJc w:val="left"/>
      <w:pPr>
        <w:ind w:left="0" w:firstLine="0"/>
      </w:pPr>
      <w:rPr>
        <w:rFonts w:hint="default"/>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5">
    <w:nsid w:val="30AF4D7E"/>
    <w:multiLevelType w:val="singleLevel"/>
    <w:tmpl w:val="30AF4D7E"/>
    <w:lvl w:ilvl="0" w:tentative="0">
      <w:start w:val="1"/>
      <w:numFmt w:val="decimal"/>
      <w:suff w:val="nothing"/>
      <w:lvlText w:val="（%1）"/>
      <w:lvlJc w:val="left"/>
    </w:lvl>
  </w:abstractNum>
  <w:abstractNum w:abstractNumId="6">
    <w:nsid w:val="73EE59FF"/>
    <w:multiLevelType w:val="singleLevel"/>
    <w:tmpl w:val="73EE59FF"/>
    <w:lvl w:ilvl="0" w:tentative="0">
      <w:start w:val="4"/>
      <w:numFmt w:val="chineseCounting"/>
      <w:suff w:val="nothing"/>
      <w:lvlText w:val="%1、"/>
      <w:lvlJc w:val="left"/>
      <w:rPr>
        <w:rFonts w:hint="eastAsia"/>
      </w:rPr>
    </w:lvl>
  </w:abstractNum>
  <w:num w:numId="1">
    <w:abstractNumId w:val="4"/>
  </w:num>
  <w:num w:numId="2">
    <w:abstractNumId w:val="0"/>
  </w:num>
  <w:num w:numId="3">
    <w:abstractNumId w:val="2"/>
  </w:num>
  <w:num w:numId="4">
    <w:abstractNumId w:val="6"/>
  </w:num>
  <w:num w:numId="5">
    <w:abstractNumId w:val="5"/>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dhNWNmYjFlM2EzMGEwOThlZmYxZDdiMGFhYmEzMWMifQ=="/>
  </w:docVars>
  <w:rsids>
    <w:rsidRoot w:val="00D05771"/>
    <w:rsid w:val="00194075"/>
    <w:rsid w:val="003B272B"/>
    <w:rsid w:val="00576CBF"/>
    <w:rsid w:val="007526CA"/>
    <w:rsid w:val="00882C82"/>
    <w:rsid w:val="008F12F4"/>
    <w:rsid w:val="009B0796"/>
    <w:rsid w:val="00A83EF8"/>
    <w:rsid w:val="00CC3045"/>
    <w:rsid w:val="00D05771"/>
    <w:rsid w:val="00D632E7"/>
    <w:rsid w:val="00D83591"/>
    <w:rsid w:val="00ED6D09"/>
    <w:rsid w:val="01B6046E"/>
    <w:rsid w:val="03C50E3C"/>
    <w:rsid w:val="046E6DDE"/>
    <w:rsid w:val="047249C9"/>
    <w:rsid w:val="048A5F3E"/>
    <w:rsid w:val="052C2818"/>
    <w:rsid w:val="066C37F1"/>
    <w:rsid w:val="06D51397"/>
    <w:rsid w:val="06FC60DA"/>
    <w:rsid w:val="076D7821"/>
    <w:rsid w:val="0788465B"/>
    <w:rsid w:val="07E06245"/>
    <w:rsid w:val="07E55609"/>
    <w:rsid w:val="08283748"/>
    <w:rsid w:val="08EB4EA1"/>
    <w:rsid w:val="09153CCC"/>
    <w:rsid w:val="098175B4"/>
    <w:rsid w:val="0A0C1573"/>
    <w:rsid w:val="0CB66C80"/>
    <w:rsid w:val="0CD45C4C"/>
    <w:rsid w:val="0D7A4A46"/>
    <w:rsid w:val="0E43752E"/>
    <w:rsid w:val="0E741495"/>
    <w:rsid w:val="0EF600FC"/>
    <w:rsid w:val="10C1473A"/>
    <w:rsid w:val="10FD4997"/>
    <w:rsid w:val="1193257A"/>
    <w:rsid w:val="12266F4A"/>
    <w:rsid w:val="130C6140"/>
    <w:rsid w:val="131E5E73"/>
    <w:rsid w:val="13313DF9"/>
    <w:rsid w:val="13B04F00"/>
    <w:rsid w:val="13E64BE3"/>
    <w:rsid w:val="13FF4E0A"/>
    <w:rsid w:val="15170DCC"/>
    <w:rsid w:val="15E81BBA"/>
    <w:rsid w:val="16A62408"/>
    <w:rsid w:val="16BE1E47"/>
    <w:rsid w:val="17EA27C8"/>
    <w:rsid w:val="18626802"/>
    <w:rsid w:val="19C808E7"/>
    <w:rsid w:val="19F4792E"/>
    <w:rsid w:val="1AA44EB0"/>
    <w:rsid w:val="1B3426D8"/>
    <w:rsid w:val="1D7414B2"/>
    <w:rsid w:val="1E164317"/>
    <w:rsid w:val="1E366767"/>
    <w:rsid w:val="1E6A01BF"/>
    <w:rsid w:val="1E6A6411"/>
    <w:rsid w:val="1E870D71"/>
    <w:rsid w:val="1F792DAF"/>
    <w:rsid w:val="1FF70178"/>
    <w:rsid w:val="1FF73CD4"/>
    <w:rsid w:val="20066A4E"/>
    <w:rsid w:val="203942EC"/>
    <w:rsid w:val="20717F2A"/>
    <w:rsid w:val="21974EE9"/>
    <w:rsid w:val="224F6049"/>
    <w:rsid w:val="22DF73CD"/>
    <w:rsid w:val="22E5250A"/>
    <w:rsid w:val="243233B1"/>
    <w:rsid w:val="25264594"/>
    <w:rsid w:val="25A06476"/>
    <w:rsid w:val="25D56865"/>
    <w:rsid w:val="261455E0"/>
    <w:rsid w:val="26AA5F44"/>
    <w:rsid w:val="27C2106B"/>
    <w:rsid w:val="2810627B"/>
    <w:rsid w:val="29A7676B"/>
    <w:rsid w:val="29AF73CD"/>
    <w:rsid w:val="29BB47B5"/>
    <w:rsid w:val="2AE44E2E"/>
    <w:rsid w:val="2B2160A9"/>
    <w:rsid w:val="2B33475A"/>
    <w:rsid w:val="2B8F74B6"/>
    <w:rsid w:val="2C5D70E7"/>
    <w:rsid w:val="2D6C3F53"/>
    <w:rsid w:val="2E3D769E"/>
    <w:rsid w:val="2F1C72B3"/>
    <w:rsid w:val="2F3740ED"/>
    <w:rsid w:val="30473841"/>
    <w:rsid w:val="30C3032E"/>
    <w:rsid w:val="327A0EC0"/>
    <w:rsid w:val="328E2276"/>
    <w:rsid w:val="32AE2918"/>
    <w:rsid w:val="3324727F"/>
    <w:rsid w:val="3363215A"/>
    <w:rsid w:val="33B71CA0"/>
    <w:rsid w:val="3402116D"/>
    <w:rsid w:val="34B87A7E"/>
    <w:rsid w:val="356279EA"/>
    <w:rsid w:val="35D72186"/>
    <w:rsid w:val="37060F75"/>
    <w:rsid w:val="37CE1367"/>
    <w:rsid w:val="37DE77FC"/>
    <w:rsid w:val="38E91897"/>
    <w:rsid w:val="39730417"/>
    <w:rsid w:val="3AE35129"/>
    <w:rsid w:val="3B037C53"/>
    <w:rsid w:val="3BD9692A"/>
    <w:rsid w:val="3BFA42BA"/>
    <w:rsid w:val="3CC176EC"/>
    <w:rsid w:val="3D2C2DB7"/>
    <w:rsid w:val="3DE90CA8"/>
    <w:rsid w:val="3DFB4052"/>
    <w:rsid w:val="3E3C527C"/>
    <w:rsid w:val="3ED6747E"/>
    <w:rsid w:val="3FD203EE"/>
    <w:rsid w:val="3FE120BF"/>
    <w:rsid w:val="40273D0A"/>
    <w:rsid w:val="41354204"/>
    <w:rsid w:val="4151103E"/>
    <w:rsid w:val="4171348E"/>
    <w:rsid w:val="42D068DB"/>
    <w:rsid w:val="434D1CD9"/>
    <w:rsid w:val="43FC6291"/>
    <w:rsid w:val="44EE2DE6"/>
    <w:rsid w:val="44FA7C3F"/>
    <w:rsid w:val="450832E5"/>
    <w:rsid w:val="45280308"/>
    <w:rsid w:val="460054E7"/>
    <w:rsid w:val="46B502C1"/>
    <w:rsid w:val="46CE3131"/>
    <w:rsid w:val="46DC584E"/>
    <w:rsid w:val="46E26BDC"/>
    <w:rsid w:val="47E56984"/>
    <w:rsid w:val="48C742DC"/>
    <w:rsid w:val="49BD6917"/>
    <w:rsid w:val="49E52C6C"/>
    <w:rsid w:val="4A4C5698"/>
    <w:rsid w:val="4A6A30A0"/>
    <w:rsid w:val="4AD36F68"/>
    <w:rsid w:val="4B1D58D4"/>
    <w:rsid w:val="4B425E9C"/>
    <w:rsid w:val="4B533189"/>
    <w:rsid w:val="4B6E6C91"/>
    <w:rsid w:val="4CEC60BF"/>
    <w:rsid w:val="4EBB21ED"/>
    <w:rsid w:val="4F6B59C1"/>
    <w:rsid w:val="5006393C"/>
    <w:rsid w:val="50DC0E9D"/>
    <w:rsid w:val="50EC2B32"/>
    <w:rsid w:val="51C15D6C"/>
    <w:rsid w:val="520619D1"/>
    <w:rsid w:val="528943B0"/>
    <w:rsid w:val="52BF7DD2"/>
    <w:rsid w:val="531D5224"/>
    <w:rsid w:val="532D11DF"/>
    <w:rsid w:val="537F7C8D"/>
    <w:rsid w:val="56DA167E"/>
    <w:rsid w:val="5818245E"/>
    <w:rsid w:val="59382EDA"/>
    <w:rsid w:val="5955323E"/>
    <w:rsid w:val="59CD1026"/>
    <w:rsid w:val="5C3F26AF"/>
    <w:rsid w:val="5C6E4D42"/>
    <w:rsid w:val="5C9C4714"/>
    <w:rsid w:val="5CA42512"/>
    <w:rsid w:val="5CDC6150"/>
    <w:rsid w:val="5CEE5E83"/>
    <w:rsid w:val="5D8B36D2"/>
    <w:rsid w:val="5E6957C1"/>
    <w:rsid w:val="5EAC3900"/>
    <w:rsid w:val="5ED6097D"/>
    <w:rsid w:val="606D70BF"/>
    <w:rsid w:val="60B62814"/>
    <w:rsid w:val="61C947C9"/>
    <w:rsid w:val="6239194F"/>
    <w:rsid w:val="640F07BD"/>
    <w:rsid w:val="64947310"/>
    <w:rsid w:val="65C336A4"/>
    <w:rsid w:val="65CD2ADA"/>
    <w:rsid w:val="663A3EE7"/>
    <w:rsid w:val="665E1984"/>
    <w:rsid w:val="678E0047"/>
    <w:rsid w:val="68AF4575"/>
    <w:rsid w:val="68B31114"/>
    <w:rsid w:val="68D67EF7"/>
    <w:rsid w:val="68E34833"/>
    <w:rsid w:val="6A3A3731"/>
    <w:rsid w:val="6A3D7B02"/>
    <w:rsid w:val="6B3A0A11"/>
    <w:rsid w:val="6B8E2D0B"/>
    <w:rsid w:val="6BA3608B"/>
    <w:rsid w:val="6BE66092"/>
    <w:rsid w:val="6C272818"/>
    <w:rsid w:val="6E182D60"/>
    <w:rsid w:val="6E535B46"/>
    <w:rsid w:val="6E9C129B"/>
    <w:rsid w:val="6EBA5BC5"/>
    <w:rsid w:val="700014FB"/>
    <w:rsid w:val="70251764"/>
    <w:rsid w:val="722A4E10"/>
    <w:rsid w:val="72A25D43"/>
    <w:rsid w:val="73155AC0"/>
    <w:rsid w:val="73ED2599"/>
    <w:rsid w:val="73EE0E4D"/>
    <w:rsid w:val="73F53AA9"/>
    <w:rsid w:val="74406B6D"/>
    <w:rsid w:val="76322319"/>
    <w:rsid w:val="77707769"/>
    <w:rsid w:val="778478CD"/>
    <w:rsid w:val="780E2ADE"/>
    <w:rsid w:val="78C7160B"/>
    <w:rsid w:val="78FB12B4"/>
    <w:rsid w:val="794C38BE"/>
    <w:rsid w:val="79D02741"/>
    <w:rsid w:val="7A1F0FD2"/>
    <w:rsid w:val="7CED360A"/>
    <w:rsid w:val="7CF60F14"/>
    <w:rsid w:val="7DE26887"/>
    <w:rsid w:val="7EEF18BB"/>
    <w:rsid w:val="7F256126"/>
    <w:rsid w:val="7FCE70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qFormat="1" w:unhideWhenUsed="0" w:uiPriority="99"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723" w:firstLineChars="200"/>
      <w:jc w:val="both"/>
    </w:pPr>
    <w:rPr>
      <w:rFonts w:ascii="Times New Roman" w:hAnsi="Times New Roman" w:eastAsia="仿宋" w:cstheme="minorBidi"/>
      <w:kern w:val="2"/>
      <w:sz w:val="28"/>
      <w:szCs w:val="28"/>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eastAsia="宋体" w:cs="Times New Roman"/>
      <w:b/>
      <w:bCs/>
      <w:kern w:val="44"/>
      <w:sz w:val="48"/>
      <w:szCs w:val="48"/>
    </w:rPr>
  </w:style>
  <w:style w:type="paragraph" w:styleId="3">
    <w:name w:val="heading 2"/>
    <w:basedOn w:val="1"/>
    <w:next w:val="1"/>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qFormat/>
    <w:uiPriority w:val="0"/>
    <w:pPr>
      <w:keepNext/>
      <w:keepLines/>
      <w:spacing w:before="260" w:after="260" w:line="413" w:lineRule="auto"/>
      <w:outlineLvl w:val="2"/>
    </w:pPr>
    <w:rPr>
      <w:b/>
      <w:sz w:val="32"/>
    </w:rPr>
  </w:style>
  <w:style w:type="paragraph" w:styleId="5">
    <w:name w:val="heading 4"/>
    <w:basedOn w:val="1"/>
    <w:next w:val="1"/>
    <w:unhideWhenUsed/>
    <w:qFormat/>
    <w:uiPriority w:val="0"/>
    <w:pPr>
      <w:keepNext/>
      <w:keepLines/>
      <w:spacing w:line="500" w:lineRule="exact"/>
      <w:outlineLvl w:val="3"/>
    </w:pPr>
    <w:rPr>
      <w:rFonts w:eastAsia="宋体"/>
      <w:sz w:val="24"/>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6">
    <w:name w:val="Body Text"/>
    <w:basedOn w:val="1"/>
    <w:qFormat/>
    <w:uiPriority w:val="0"/>
    <w:pPr>
      <w:ind w:left="577"/>
    </w:pPr>
  </w:style>
  <w:style w:type="paragraph" w:styleId="7">
    <w:name w:val="Body Text Indent"/>
    <w:basedOn w:val="1"/>
    <w:next w:val="1"/>
    <w:qFormat/>
    <w:uiPriority w:val="0"/>
    <w:pPr>
      <w:spacing w:after="120"/>
      <w:ind w:left="420" w:leftChars="200"/>
    </w:pPr>
  </w:style>
  <w:style w:type="paragraph" w:styleId="8">
    <w:name w:val="footer"/>
    <w:basedOn w:val="1"/>
    <w:qFormat/>
    <w:uiPriority w:val="99"/>
    <w:pPr>
      <w:tabs>
        <w:tab w:val="center" w:pos="4153"/>
        <w:tab w:val="right" w:pos="8306"/>
      </w:tabs>
      <w:snapToGrid w:val="0"/>
      <w:jc w:val="left"/>
    </w:pPr>
    <w:rPr>
      <w:sz w:val="18"/>
      <w:szCs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10">
    <w:name w:val="toc 1"/>
    <w:basedOn w:val="1"/>
    <w:next w:val="1"/>
    <w:qFormat/>
    <w:uiPriority w:val="0"/>
  </w:style>
  <w:style w:type="paragraph" w:styleId="11">
    <w:name w:val="table of figures"/>
    <w:basedOn w:val="1"/>
    <w:next w:val="1"/>
    <w:semiHidden/>
    <w:qFormat/>
    <w:uiPriority w:val="99"/>
    <w:pPr>
      <w:spacing w:before="100" w:beforeAutospacing="1" w:after="100" w:afterAutospacing="1"/>
      <w:ind w:left="200" w:leftChars="200" w:hanging="200" w:hangingChars="200"/>
    </w:pPr>
  </w:style>
  <w:style w:type="paragraph" w:styleId="12">
    <w:name w:val="toc 2"/>
    <w:basedOn w:val="1"/>
    <w:next w:val="1"/>
    <w:qFormat/>
    <w:uiPriority w:val="0"/>
    <w:pPr>
      <w:ind w:left="420" w:leftChars="200"/>
    </w:pPr>
  </w:style>
  <w:style w:type="paragraph" w:styleId="13">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4">
    <w:name w:val="Title"/>
    <w:basedOn w:val="1"/>
    <w:next w:val="1"/>
    <w:qFormat/>
    <w:uiPriority w:val="10"/>
    <w:pPr>
      <w:spacing w:before="240" w:after="60"/>
      <w:ind w:firstLine="0" w:firstLineChars="0"/>
      <w:jc w:val="center"/>
      <w:outlineLvl w:val="0"/>
    </w:pPr>
    <w:rPr>
      <w:rFonts w:cstheme="majorBidi"/>
      <w:b/>
      <w:bCs/>
      <w:sz w:val="48"/>
      <w:szCs w:val="48"/>
    </w:rPr>
  </w:style>
  <w:style w:type="paragraph" w:styleId="15">
    <w:name w:val="Body Text First Indent 2"/>
    <w:basedOn w:val="7"/>
    <w:next w:val="1"/>
    <w:qFormat/>
    <w:uiPriority w:val="0"/>
    <w:pPr>
      <w:ind w:firstLine="420"/>
    </w:pPr>
    <w:rPr>
      <w:kern w:val="0"/>
      <w:sz w:val="20"/>
      <w:szCs w:val="20"/>
    </w:rPr>
  </w:style>
  <w:style w:type="table" w:styleId="17">
    <w:name w:val="Table Grid"/>
    <w:basedOn w:val="1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9">
    <w:name w:val="Default"/>
    <w:next w:val="1"/>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20">
    <w:name w:val="w_正文222"/>
    <w:basedOn w:val="1"/>
    <w:qFormat/>
    <w:uiPriority w:val="0"/>
    <w:pPr>
      <w:spacing w:line="560" w:lineRule="exact"/>
      <w:ind w:firstLine="560"/>
    </w:pPr>
    <w:rPr>
      <w:sz w:val="30"/>
    </w:rPr>
  </w:style>
  <w:style w:type="paragraph" w:customStyle="1" w:styleId="21">
    <w:name w:val="Table Paragraph"/>
    <w:basedOn w:val="1"/>
    <w:qFormat/>
    <w:uiPriority w:val="1"/>
    <w:pPr>
      <w:autoSpaceDE w:val="0"/>
      <w:autoSpaceDN w:val="0"/>
      <w:spacing w:before="130"/>
      <w:ind w:left="497"/>
      <w:jc w:val="center"/>
    </w:pPr>
    <w:rPr>
      <w:rFonts w:eastAsia="Times New Roman" w:cs="Times New Roman"/>
      <w:kern w:val="0"/>
      <w:sz w:val="22"/>
      <w:szCs w:val="24"/>
      <w:lang w:eastAsia="en-US"/>
    </w:rPr>
  </w:style>
  <w:style w:type="paragraph" w:customStyle="1" w:styleId="22">
    <w:name w:val="标准文件_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emf"/><Relationship Id="rId86" Type="http://schemas.openxmlformats.org/officeDocument/2006/relationships/fontTable" Target="fontTable.xml"/><Relationship Id="rId85" Type="http://schemas.openxmlformats.org/officeDocument/2006/relationships/numbering" Target="numbering.xml"/><Relationship Id="rId84" Type="http://schemas.openxmlformats.org/officeDocument/2006/relationships/customXml" Target="../customXml/item1.xml"/><Relationship Id="rId83" Type="http://schemas.openxmlformats.org/officeDocument/2006/relationships/image" Target="media/image52.jpeg"/><Relationship Id="rId82" Type="http://schemas.openxmlformats.org/officeDocument/2006/relationships/image" Target="media/image51.jpeg"/><Relationship Id="rId81" Type="http://schemas.openxmlformats.org/officeDocument/2006/relationships/image" Target="media/image50.jpeg"/><Relationship Id="rId80" Type="http://schemas.openxmlformats.org/officeDocument/2006/relationships/image" Target="media/image49.jpeg"/><Relationship Id="rId8" Type="http://schemas.openxmlformats.org/officeDocument/2006/relationships/oleObject" Target="embeddings/oleObject1.bin"/><Relationship Id="rId79" Type="http://schemas.openxmlformats.org/officeDocument/2006/relationships/image" Target="media/image48.jpeg"/><Relationship Id="rId78" Type="http://schemas.openxmlformats.org/officeDocument/2006/relationships/image" Target="media/image47.jpeg"/><Relationship Id="rId77" Type="http://schemas.openxmlformats.org/officeDocument/2006/relationships/image" Target="media/image46.jpeg"/><Relationship Id="rId76" Type="http://schemas.openxmlformats.org/officeDocument/2006/relationships/image" Target="media/image45.jpeg"/><Relationship Id="rId75" Type="http://schemas.openxmlformats.org/officeDocument/2006/relationships/image" Target="media/image44.png"/><Relationship Id="rId74" Type="http://schemas.openxmlformats.org/officeDocument/2006/relationships/image" Target="media/image43.jpeg"/><Relationship Id="rId73" Type="http://schemas.openxmlformats.org/officeDocument/2006/relationships/image" Target="media/image42.jpeg"/><Relationship Id="rId72" Type="http://schemas.openxmlformats.org/officeDocument/2006/relationships/image" Target="media/image41.jpeg"/><Relationship Id="rId71" Type="http://schemas.openxmlformats.org/officeDocument/2006/relationships/image" Target="media/image40.jpeg"/><Relationship Id="rId70" Type="http://schemas.openxmlformats.org/officeDocument/2006/relationships/image" Target="media/image39.jpeg"/><Relationship Id="rId7" Type="http://schemas.openxmlformats.org/officeDocument/2006/relationships/theme" Target="theme/theme1.xml"/><Relationship Id="rId69" Type="http://schemas.openxmlformats.org/officeDocument/2006/relationships/image" Target="media/image38.jpeg"/><Relationship Id="rId68" Type="http://schemas.openxmlformats.org/officeDocument/2006/relationships/image" Target="media/image37.jpeg"/><Relationship Id="rId67" Type="http://schemas.openxmlformats.org/officeDocument/2006/relationships/image" Target="media/image36.jpeg"/><Relationship Id="rId66" Type="http://schemas.openxmlformats.org/officeDocument/2006/relationships/image" Target="media/image35.jpeg"/><Relationship Id="rId65" Type="http://schemas.openxmlformats.org/officeDocument/2006/relationships/image" Target="media/image34.jpeg"/><Relationship Id="rId64" Type="http://schemas.openxmlformats.org/officeDocument/2006/relationships/image" Target="media/image33.jpeg"/><Relationship Id="rId63" Type="http://schemas.openxmlformats.org/officeDocument/2006/relationships/image" Target="media/image32.jpeg"/><Relationship Id="rId62" Type="http://schemas.openxmlformats.org/officeDocument/2006/relationships/image" Target="media/image31.jpeg"/><Relationship Id="rId61" Type="http://schemas.openxmlformats.org/officeDocument/2006/relationships/image" Target="media/image30.jpeg"/><Relationship Id="rId60" Type="http://schemas.openxmlformats.org/officeDocument/2006/relationships/image" Target="media/image29.jpeg"/><Relationship Id="rId6" Type="http://schemas.openxmlformats.org/officeDocument/2006/relationships/footer" Target="footer2.xml"/><Relationship Id="rId59" Type="http://schemas.openxmlformats.org/officeDocument/2006/relationships/image" Target="media/image28.jpeg"/><Relationship Id="rId58" Type="http://schemas.openxmlformats.org/officeDocument/2006/relationships/image" Target="media/image27.jpeg"/><Relationship Id="rId57" Type="http://schemas.openxmlformats.org/officeDocument/2006/relationships/image" Target="media/image26.jpeg"/><Relationship Id="rId56" Type="http://schemas.openxmlformats.org/officeDocument/2006/relationships/image" Target="media/image25.wmf"/><Relationship Id="rId55" Type="http://schemas.openxmlformats.org/officeDocument/2006/relationships/oleObject" Target="embeddings/oleObject24.bin"/><Relationship Id="rId54" Type="http://schemas.openxmlformats.org/officeDocument/2006/relationships/image" Target="media/image24.wmf"/><Relationship Id="rId53" Type="http://schemas.openxmlformats.org/officeDocument/2006/relationships/oleObject" Target="embeddings/oleObject23.bin"/><Relationship Id="rId52" Type="http://schemas.openxmlformats.org/officeDocument/2006/relationships/image" Target="media/image23.wmf"/><Relationship Id="rId51" Type="http://schemas.openxmlformats.org/officeDocument/2006/relationships/oleObject" Target="embeddings/oleObject22.bin"/><Relationship Id="rId50" Type="http://schemas.openxmlformats.org/officeDocument/2006/relationships/image" Target="media/image22.wmf"/><Relationship Id="rId5" Type="http://schemas.openxmlformats.org/officeDocument/2006/relationships/footer" Target="footer1.xml"/><Relationship Id="rId49" Type="http://schemas.openxmlformats.org/officeDocument/2006/relationships/oleObject" Target="embeddings/oleObject21.bin"/><Relationship Id="rId48" Type="http://schemas.openxmlformats.org/officeDocument/2006/relationships/image" Target="media/image21.wmf"/><Relationship Id="rId47" Type="http://schemas.openxmlformats.org/officeDocument/2006/relationships/oleObject" Target="embeddings/oleObject20.bin"/><Relationship Id="rId46" Type="http://schemas.openxmlformats.org/officeDocument/2006/relationships/image" Target="media/image20.wmf"/><Relationship Id="rId45" Type="http://schemas.openxmlformats.org/officeDocument/2006/relationships/oleObject" Target="embeddings/oleObject19.bin"/><Relationship Id="rId44" Type="http://schemas.openxmlformats.org/officeDocument/2006/relationships/image" Target="media/image19.wmf"/><Relationship Id="rId43" Type="http://schemas.openxmlformats.org/officeDocument/2006/relationships/oleObject" Target="embeddings/oleObject18.bin"/><Relationship Id="rId42" Type="http://schemas.openxmlformats.org/officeDocument/2006/relationships/image" Target="media/image18.wmf"/><Relationship Id="rId41" Type="http://schemas.openxmlformats.org/officeDocument/2006/relationships/oleObject" Target="embeddings/oleObject17.bin"/><Relationship Id="rId40" Type="http://schemas.openxmlformats.org/officeDocument/2006/relationships/image" Target="media/image17.wmf"/><Relationship Id="rId4" Type="http://schemas.openxmlformats.org/officeDocument/2006/relationships/endnotes" Target="endnotes.xml"/><Relationship Id="rId39" Type="http://schemas.openxmlformats.org/officeDocument/2006/relationships/oleObject" Target="embeddings/oleObject16.bin"/><Relationship Id="rId38" Type="http://schemas.openxmlformats.org/officeDocument/2006/relationships/image" Target="media/image16.wmf"/><Relationship Id="rId37" Type="http://schemas.openxmlformats.org/officeDocument/2006/relationships/oleObject" Target="embeddings/oleObject15.bin"/><Relationship Id="rId36" Type="http://schemas.openxmlformats.org/officeDocument/2006/relationships/image" Target="media/image15.wmf"/><Relationship Id="rId35" Type="http://schemas.openxmlformats.org/officeDocument/2006/relationships/oleObject" Target="embeddings/oleObject14.bin"/><Relationship Id="rId34" Type="http://schemas.openxmlformats.org/officeDocument/2006/relationships/image" Target="media/image14.wmf"/><Relationship Id="rId33" Type="http://schemas.openxmlformats.org/officeDocument/2006/relationships/oleObject" Target="embeddings/oleObject13.bin"/><Relationship Id="rId32" Type="http://schemas.openxmlformats.org/officeDocument/2006/relationships/image" Target="media/image13.wmf"/><Relationship Id="rId31" Type="http://schemas.openxmlformats.org/officeDocument/2006/relationships/oleObject" Target="embeddings/oleObject12.bin"/><Relationship Id="rId30" Type="http://schemas.openxmlformats.org/officeDocument/2006/relationships/image" Target="media/image12.wmf"/><Relationship Id="rId3" Type="http://schemas.openxmlformats.org/officeDocument/2006/relationships/footnotes" Target="footnotes.xml"/><Relationship Id="rId29" Type="http://schemas.openxmlformats.org/officeDocument/2006/relationships/oleObject" Target="embeddings/oleObject11.bin"/><Relationship Id="rId28" Type="http://schemas.openxmlformats.org/officeDocument/2006/relationships/image" Target="media/image11.wmf"/><Relationship Id="rId27" Type="http://schemas.openxmlformats.org/officeDocument/2006/relationships/oleObject" Target="embeddings/oleObject10.bin"/><Relationship Id="rId26" Type="http://schemas.openxmlformats.org/officeDocument/2006/relationships/image" Target="media/image10.wmf"/><Relationship Id="rId25" Type="http://schemas.openxmlformats.org/officeDocument/2006/relationships/oleObject" Target="embeddings/oleObject9.bin"/><Relationship Id="rId24" Type="http://schemas.openxmlformats.org/officeDocument/2006/relationships/image" Target="media/image9.wmf"/><Relationship Id="rId23" Type="http://schemas.openxmlformats.org/officeDocument/2006/relationships/oleObject" Target="embeddings/oleObject8.bin"/><Relationship Id="rId22" Type="http://schemas.openxmlformats.org/officeDocument/2006/relationships/image" Target="media/image8.wmf"/><Relationship Id="rId21" Type="http://schemas.openxmlformats.org/officeDocument/2006/relationships/oleObject" Target="embeddings/oleObject7.bin"/><Relationship Id="rId20" Type="http://schemas.openxmlformats.org/officeDocument/2006/relationships/image" Target="media/image7.wmf"/><Relationship Id="rId2" Type="http://schemas.openxmlformats.org/officeDocument/2006/relationships/settings" Target="settings.xml"/><Relationship Id="rId19" Type="http://schemas.openxmlformats.org/officeDocument/2006/relationships/oleObject" Target="embeddings/oleObject6.bin"/><Relationship Id="rId18" Type="http://schemas.openxmlformats.org/officeDocument/2006/relationships/image" Target="media/image6.wmf"/><Relationship Id="rId17" Type="http://schemas.openxmlformats.org/officeDocument/2006/relationships/oleObject" Target="embeddings/oleObject5.bin"/><Relationship Id="rId16" Type="http://schemas.openxmlformats.org/officeDocument/2006/relationships/image" Target="media/image5.wmf"/><Relationship Id="rId15" Type="http://schemas.openxmlformats.org/officeDocument/2006/relationships/oleObject" Target="embeddings/oleObject4.bin"/><Relationship Id="rId14" Type="http://schemas.openxmlformats.org/officeDocument/2006/relationships/image" Target="media/image4.wmf"/><Relationship Id="rId13" Type="http://schemas.openxmlformats.org/officeDocument/2006/relationships/oleObject" Target="embeddings/oleObject3.bin"/><Relationship Id="rId12" Type="http://schemas.openxmlformats.org/officeDocument/2006/relationships/image" Target="media/image3.emf"/><Relationship Id="rId11" Type="http://schemas.openxmlformats.org/officeDocument/2006/relationships/oleObject" Target="embeddings/oleObject2.bin"/><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139</Pages>
  <Words>50905</Words>
  <Characters>56527</Characters>
  <Lines>380</Lines>
  <Paragraphs>107</Paragraphs>
  <TotalTime>25</TotalTime>
  <ScaleCrop>false</ScaleCrop>
  <LinksUpToDate>false</LinksUpToDate>
  <CharactersWithSpaces>57323</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2022-03-10T00:01:00Z</dcterms:created>
  <dc:creator>Administrator</dc:creator>
  <cp:lastModifiedBy>小道消息</cp:lastModifiedBy>
  <dcterms:modified xsi:type="dcterms:W3CDTF">2023-11-29T05:41:44Z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7A5A9A61E4BD470AB2EAB8529E241F61_13</vt:lpwstr>
  </property>
</Properties>
</file>