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6DD64">
      <w:pPr>
        <w:spacing w:line="240" w:lineRule="auto"/>
        <w:ind w:firstLine="0" w:firstLineChars="0"/>
        <w:jc w:val="center"/>
        <w:rPr>
          <w:rFonts w:hint="eastAsia" w:ascii="宋体" w:hAnsi="宋体" w:eastAsia="宋体"/>
          <w:sz w:val="21"/>
        </w:rPr>
      </w:pPr>
    </w:p>
    <w:p w14:paraId="5316F89C">
      <w:pPr>
        <w:pStyle w:val="8"/>
        <w:ind w:firstLine="560"/>
      </w:pPr>
    </w:p>
    <w:p w14:paraId="0391CC18">
      <w:pPr>
        <w:spacing w:line="240" w:lineRule="auto"/>
        <w:ind w:firstLine="0" w:firstLineChars="0"/>
        <w:jc w:val="center"/>
        <w:rPr>
          <w:rFonts w:hint="eastAsia" w:ascii="宋体" w:hAnsi="宋体" w:eastAsia="宋体"/>
          <w:sz w:val="21"/>
        </w:rPr>
      </w:pPr>
    </w:p>
    <w:p w14:paraId="373198F8">
      <w:pPr>
        <w:spacing w:line="600" w:lineRule="exact"/>
        <w:ind w:firstLine="0" w:firstLineChars="0"/>
        <w:rPr>
          <w:rFonts w:hint="eastAsia" w:ascii="仿宋_GB2312" w:hAnsi="仿宋_GB2312" w:eastAsia="仿宋_GB2312" w:cs="仿宋_GB2312"/>
          <w:sz w:val="32"/>
          <w:szCs w:val="32"/>
        </w:rPr>
      </w:pPr>
    </w:p>
    <w:p w14:paraId="042470A6">
      <w:pPr>
        <w:pStyle w:val="8"/>
        <w:ind w:firstLine="560"/>
      </w:pPr>
    </w:p>
    <w:p w14:paraId="2753A00F">
      <w:pPr>
        <w:spacing w:line="600" w:lineRule="exact"/>
        <w:ind w:firstLine="0" w:firstLineChars="0"/>
        <w:jc w:val="center"/>
        <w:rPr>
          <w:rFonts w:hint="eastAsia" w:ascii="方正小标宋简体" w:hAnsi="方正小标宋简体" w:eastAsia="方正小标宋简体" w:cs="方正小标宋简体"/>
          <w:sz w:val="44"/>
          <w:szCs w:val="44"/>
        </w:rPr>
      </w:pPr>
      <w:bookmarkStart w:id="0" w:name="_Toc29133"/>
      <w:bookmarkStart w:id="1" w:name="_Toc26750"/>
      <w:bookmarkStart w:id="2" w:name="_Toc10101"/>
      <w:bookmarkStart w:id="373" w:name="_GoBack"/>
      <w:r>
        <w:rPr>
          <w:rFonts w:hint="eastAsia" w:ascii="方正小标宋简体" w:hAnsi="方正小标宋简体" w:eastAsia="方正小标宋简体" w:cs="方正小标宋简体"/>
          <w:sz w:val="44"/>
          <w:szCs w:val="44"/>
        </w:rPr>
        <w:t>上集镇国土空间总体规划</w:t>
      </w:r>
      <w:bookmarkEnd w:id="0"/>
      <w:bookmarkEnd w:id="1"/>
      <w:bookmarkEnd w:id="2"/>
    </w:p>
    <w:bookmarkEnd w:id="373"/>
    <w:p w14:paraId="62CC65D4">
      <w:pPr>
        <w:spacing w:line="600" w:lineRule="exact"/>
        <w:ind w:firstLine="0" w:firstLineChars="0"/>
        <w:jc w:val="center"/>
        <w:rPr>
          <w:rFonts w:ascii="Times New Roman" w:hAnsi="Times New Roman" w:eastAsia="方正小标宋简体" w:cstheme="minorBidi"/>
          <w:sz w:val="44"/>
          <w:szCs w:val="44"/>
        </w:rPr>
      </w:pPr>
      <w:r>
        <w:rPr>
          <w:rFonts w:ascii="Times New Roman" w:hAnsi="Times New Roman" w:eastAsia="方正小标宋简体" w:cstheme="minorBidi"/>
          <w:sz w:val="44"/>
          <w:szCs w:val="44"/>
        </w:rPr>
        <w:t>（2021-2035年）</w:t>
      </w:r>
    </w:p>
    <w:p w14:paraId="5AACC071">
      <w:pPr>
        <w:spacing w:line="600" w:lineRule="exact"/>
        <w:ind w:firstLine="0" w:firstLineChars="0"/>
        <w:jc w:val="center"/>
        <w:rPr>
          <w:rFonts w:ascii="Times New Roman" w:hAnsi="Times New Roman" w:eastAsia="方正小标宋简体" w:cs="Times New Roman"/>
          <w:sz w:val="44"/>
          <w:szCs w:val="44"/>
        </w:rPr>
      </w:pPr>
    </w:p>
    <w:p w14:paraId="050F974E">
      <w:pPr>
        <w:spacing w:line="600" w:lineRule="exact"/>
        <w:ind w:firstLine="0" w:firstLineChars="0"/>
        <w:jc w:val="center"/>
        <w:rPr>
          <w:rFonts w:ascii="Times New Roman" w:hAnsi="Times New Roman" w:eastAsia="方正小标宋简体" w:cs="Times New Roman"/>
          <w:sz w:val="44"/>
          <w:szCs w:val="44"/>
        </w:rPr>
      </w:pPr>
    </w:p>
    <w:p w14:paraId="4640A615">
      <w:pPr>
        <w:spacing w:line="600" w:lineRule="exact"/>
        <w:ind w:firstLine="0" w:firstLineChars="0"/>
        <w:jc w:val="center"/>
        <w:rPr>
          <w:rFonts w:ascii="Times New Roman" w:hAnsi="Times New Roman" w:eastAsia="方正小标宋简体" w:cs="Times New Roman"/>
          <w:sz w:val="44"/>
          <w:szCs w:val="44"/>
        </w:rPr>
      </w:pPr>
    </w:p>
    <w:p w14:paraId="44DB6203">
      <w:pPr>
        <w:spacing w:line="600" w:lineRule="exact"/>
        <w:ind w:firstLine="0" w:firstLineChars="0"/>
        <w:jc w:val="center"/>
        <w:rPr>
          <w:rFonts w:ascii="Times New Roman" w:hAnsi="Times New Roman" w:eastAsia="方正小标宋简体" w:cs="Times New Roman"/>
          <w:sz w:val="44"/>
          <w:szCs w:val="44"/>
        </w:rPr>
      </w:pPr>
    </w:p>
    <w:p w14:paraId="4E23FC5A">
      <w:pPr>
        <w:spacing w:line="600" w:lineRule="exact"/>
        <w:ind w:firstLine="0" w:firstLineChars="0"/>
        <w:jc w:val="center"/>
        <w:rPr>
          <w:rFonts w:ascii="Times New Roman" w:hAnsi="Times New Roman" w:eastAsia="方正小标宋简体" w:cs="Times New Roman"/>
          <w:sz w:val="44"/>
          <w:szCs w:val="44"/>
        </w:rPr>
      </w:pPr>
    </w:p>
    <w:p w14:paraId="5E7FF3D3">
      <w:pPr>
        <w:spacing w:line="600" w:lineRule="exact"/>
        <w:ind w:firstLine="0" w:firstLineChars="0"/>
        <w:jc w:val="center"/>
        <w:rPr>
          <w:rFonts w:ascii="Times New Roman" w:hAnsi="Times New Roman" w:eastAsia="方正小标宋简体" w:cs="Times New Roman"/>
          <w:sz w:val="44"/>
          <w:szCs w:val="44"/>
        </w:rPr>
      </w:pPr>
    </w:p>
    <w:p w14:paraId="535BAF01">
      <w:pPr>
        <w:spacing w:line="600" w:lineRule="exact"/>
        <w:ind w:firstLine="0" w:firstLineChars="0"/>
        <w:jc w:val="center"/>
        <w:rPr>
          <w:rFonts w:ascii="Times New Roman" w:hAnsi="Times New Roman" w:eastAsia="方正小标宋简体" w:cs="Times New Roman"/>
          <w:sz w:val="44"/>
          <w:szCs w:val="44"/>
        </w:rPr>
      </w:pPr>
    </w:p>
    <w:p w14:paraId="2894A0D7">
      <w:pPr>
        <w:spacing w:line="600" w:lineRule="exact"/>
        <w:ind w:firstLine="0" w:firstLineChars="0"/>
        <w:jc w:val="center"/>
        <w:rPr>
          <w:rFonts w:ascii="Times New Roman" w:hAnsi="Times New Roman" w:eastAsia="方正小标宋简体" w:cs="Times New Roman"/>
          <w:sz w:val="44"/>
          <w:szCs w:val="44"/>
        </w:rPr>
      </w:pPr>
    </w:p>
    <w:p w14:paraId="680E97C9">
      <w:pPr>
        <w:spacing w:line="600" w:lineRule="exact"/>
        <w:ind w:firstLine="0" w:firstLineChars="0"/>
        <w:jc w:val="center"/>
        <w:rPr>
          <w:rFonts w:ascii="Times New Roman" w:hAnsi="Times New Roman" w:eastAsia="方正小标宋简体" w:cs="Times New Roman"/>
          <w:sz w:val="44"/>
          <w:szCs w:val="44"/>
        </w:rPr>
      </w:pPr>
    </w:p>
    <w:p w14:paraId="3E76871A">
      <w:pPr>
        <w:spacing w:line="600" w:lineRule="exact"/>
        <w:ind w:firstLine="0" w:firstLineChars="0"/>
        <w:jc w:val="center"/>
        <w:rPr>
          <w:rFonts w:ascii="Times New Roman" w:hAnsi="Times New Roman" w:eastAsia="方正小标宋简体" w:cs="Times New Roman"/>
          <w:sz w:val="44"/>
          <w:szCs w:val="44"/>
        </w:rPr>
      </w:pPr>
    </w:p>
    <w:p w14:paraId="77618776">
      <w:pPr>
        <w:spacing w:line="600" w:lineRule="exact"/>
        <w:ind w:firstLine="0" w:firstLineChars="0"/>
        <w:jc w:val="center"/>
        <w:rPr>
          <w:rFonts w:ascii="Times New Roman" w:hAnsi="Times New Roman" w:eastAsia="方正小标宋简体" w:cs="Times New Roman"/>
          <w:sz w:val="44"/>
          <w:szCs w:val="44"/>
        </w:rPr>
      </w:pPr>
    </w:p>
    <w:p w14:paraId="207C0169">
      <w:pPr>
        <w:spacing w:line="600" w:lineRule="exact"/>
        <w:ind w:firstLine="640"/>
        <w:jc w:val="center"/>
        <w:rPr>
          <w:rFonts w:ascii="Times New Roman" w:hAnsi="Times New Roman" w:eastAsia="方正小标宋简体" w:cstheme="minorBidi"/>
          <w:sz w:val="32"/>
          <w:szCs w:val="32"/>
        </w:rPr>
      </w:pPr>
    </w:p>
    <w:p w14:paraId="25158E36">
      <w:pPr>
        <w:spacing w:line="600" w:lineRule="exact"/>
        <w:ind w:firstLine="0" w:firstLineChars="0"/>
        <w:jc w:val="center"/>
        <w:rPr>
          <w:rFonts w:ascii="Times New Roman" w:hAnsi="Times New Roman" w:eastAsia="方正小标宋简体" w:cstheme="minorBidi"/>
          <w:sz w:val="32"/>
          <w:szCs w:val="32"/>
        </w:rPr>
      </w:pPr>
      <w:r>
        <w:rPr>
          <w:rFonts w:hint="eastAsia" w:ascii="Times New Roman" w:hAnsi="Times New Roman" w:eastAsia="方正小标宋简体" w:cstheme="minorBidi"/>
          <w:sz w:val="32"/>
          <w:szCs w:val="32"/>
        </w:rPr>
        <w:t>上集镇人民政府</w:t>
      </w:r>
    </w:p>
    <w:p w14:paraId="20DB4610">
      <w:pPr>
        <w:spacing w:line="600" w:lineRule="exact"/>
        <w:ind w:firstLine="0" w:firstLineChars="0"/>
        <w:jc w:val="center"/>
        <w:rPr>
          <w:rFonts w:ascii="Times New Roman" w:hAnsi="Times New Roman" w:eastAsia="方正小标宋简体" w:cstheme="minorBidi"/>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408" w:charSpace="0"/>
        </w:sectPr>
      </w:pPr>
      <w:r>
        <w:rPr>
          <w:rFonts w:hint="eastAsia" w:ascii="Times New Roman" w:hAnsi="Times New Roman" w:eastAsia="方正小标宋简体" w:cstheme="minorBidi"/>
          <w:sz w:val="32"/>
          <w:szCs w:val="32"/>
          <w:lang w:val="en-US" w:eastAsia="zh-CN"/>
        </w:rPr>
        <w:t>2025</w:t>
      </w:r>
      <w:r>
        <w:rPr>
          <w:rFonts w:hint="eastAsia" w:ascii="Times New Roman" w:hAnsi="Times New Roman" w:eastAsia="方正小标宋简体" w:cstheme="minorBidi"/>
          <w:sz w:val="32"/>
          <w:szCs w:val="32"/>
        </w:rPr>
        <w:t>年</w:t>
      </w:r>
      <w:r>
        <w:rPr>
          <w:rFonts w:hint="eastAsia" w:ascii="Times New Roman" w:hAnsi="Times New Roman" w:eastAsia="方正小标宋简体" w:cstheme="minorBidi"/>
          <w:sz w:val="32"/>
          <w:szCs w:val="32"/>
          <w:lang w:val="en-US" w:eastAsia="zh-CN"/>
        </w:rPr>
        <w:t>3</w:t>
      </w:r>
      <w:r>
        <w:rPr>
          <w:rFonts w:hint="eastAsia" w:ascii="Times New Roman" w:hAnsi="Times New Roman" w:eastAsia="方正小标宋简体" w:cstheme="minorBidi"/>
          <w:sz w:val="32"/>
          <w:szCs w:val="32"/>
        </w:rPr>
        <w:t>月</w:t>
      </w:r>
    </w:p>
    <w:p w14:paraId="63E1559B">
      <w:pPr>
        <w:pStyle w:val="13"/>
        <w:tabs>
          <w:tab w:val="right" w:leader="dot" w:pos="8306"/>
        </w:tabs>
        <w:ind w:firstLine="560"/>
        <w:jc w:val="center"/>
        <w:rPr>
          <w:rFonts w:hint="eastAsia"/>
        </w:rPr>
      </w:pPr>
      <w:r>
        <w:rPr>
          <w:rFonts w:hint="eastAsia" w:ascii="Times New Roman" w:hAnsi="Times New Roman" w:eastAsia="方正小标宋简体" w:cs="方正小标宋简体"/>
          <w:szCs w:val="36"/>
        </w:rPr>
        <w:t>目 录</w:t>
      </w:r>
    </w:p>
    <w:sdt>
      <w:sdtPr>
        <w:rPr>
          <w:rFonts w:ascii="宋体" w:hAnsi="宋体" w:eastAsia="宋体"/>
          <w:sz w:val="21"/>
        </w:rPr>
        <w:id w:val="147475530"/>
        <w15:color w:val="DBDBDB"/>
        <w:docPartObj>
          <w:docPartGallery w:val="Table of Contents"/>
          <w:docPartUnique/>
        </w:docPartObj>
      </w:sdtPr>
      <w:sdtEndPr>
        <w:rPr>
          <w:rFonts w:hint="eastAsia" w:ascii="仿宋" w:hAnsi="仿宋" w:eastAsia="仿宋"/>
          <w:b/>
          <w:sz w:val="28"/>
        </w:rPr>
      </w:sdtEndPr>
      <w:sdtContent>
        <w:p w14:paraId="3FA6EDAF">
          <w:pPr>
            <w:spacing w:line="240" w:lineRule="auto"/>
            <w:ind w:firstLine="0" w:firstLineChars="0"/>
            <w:jc w:val="center"/>
            <w:rPr>
              <w:rFonts w:hint="eastAsia"/>
            </w:rPr>
          </w:pPr>
        </w:p>
        <w:p w14:paraId="41EB3B62">
          <w:pPr>
            <w:pStyle w:val="13"/>
            <w:tabs>
              <w:tab w:val="right" w:leader="dot" w:pos="8306"/>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_Toc15805 </w:instrText>
          </w:r>
          <w:r>
            <w:rPr>
              <w:rFonts w:hint="eastAsia"/>
            </w:rPr>
            <w:fldChar w:fldCharType="separate"/>
          </w:r>
          <w:r>
            <w:rPr>
              <w:rFonts w:hint="eastAsia" w:ascii="方正小标宋简体" w:hAnsi="方正小标宋简体" w:eastAsia="方正小标宋简体" w:cs="方正小标宋简体"/>
              <w:bCs w:val="0"/>
              <w:szCs w:val="36"/>
            </w:rPr>
            <w:t xml:space="preserve">第一章 </w:t>
          </w:r>
          <w:r>
            <w:rPr>
              <w:rFonts w:hint="eastAsia" w:ascii="Times New Roman" w:hAnsi="Times New Roman" w:eastAsia="方正小标宋简体" w:cs="方正小标宋简体"/>
              <w:bCs w:val="0"/>
              <w:szCs w:val="36"/>
            </w:rPr>
            <w:t>总则</w:t>
          </w:r>
          <w:r>
            <w:tab/>
          </w:r>
          <w:r>
            <w:fldChar w:fldCharType="begin"/>
          </w:r>
          <w:r>
            <w:instrText xml:space="preserve"> PAGEREF _Toc15805 \h </w:instrText>
          </w:r>
          <w:r>
            <w:fldChar w:fldCharType="separate"/>
          </w:r>
          <w:r>
            <w:t>1</w:t>
          </w:r>
          <w:r>
            <w:fldChar w:fldCharType="end"/>
          </w:r>
          <w:r>
            <w:rPr>
              <w:rFonts w:hint="eastAsia"/>
            </w:rPr>
            <w:fldChar w:fldCharType="end"/>
          </w:r>
        </w:p>
        <w:p w14:paraId="3E7908C4">
          <w:pPr>
            <w:pStyle w:val="14"/>
            <w:tabs>
              <w:tab w:val="right" w:leader="dot" w:pos="8306"/>
            </w:tabs>
          </w:pPr>
          <w:r>
            <w:rPr>
              <w:rFonts w:hint="eastAsia"/>
            </w:rPr>
            <w:fldChar w:fldCharType="begin"/>
          </w:r>
          <w:r>
            <w:rPr>
              <w:rFonts w:hint="eastAsia"/>
            </w:rPr>
            <w:instrText xml:space="preserve"> HYPERLINK \l _Toc15821 </w:instrText>
          </w:r>
          <w:r>
            <w:rPr>
              <w:rFonts w:hint="eastAsia"/>
            </w:rPr>
            <w:fldChar w:fldCharType="separate"/>
          </w:r>
          <w:r>
            <w:rPr>
              <w:rFonts w:hint="eastAsia" w:ascii="Times New Roman" w:hAnsi="Times New Roman" w:eastAsia="楷体" w:cs="Times New Roman"/>
              <w:szCs w:val="24"/>
            </w:rPr>
            <w:t>第1条 规划目的</w:t>
          </w:r>
          <w:r>
            <w:tab/>
          </w:r>
          <w:r>
            <w:fldChar w:fldCharType="begin"/>
          </w:r>
          <w:r>
            <w:instrText xml:space="preserve"> PAGEREF _Toc15821 \h </w:instrText>
          </w:r>
          <w:r>
            <w:fldChar w:fldCharType="separate"/>
          </w:r>
          <w:r>
            <w:t>1</w:t>
          </w:r>
          <w:r>
            <w:fldChar w:fldCharType="end"/>
          </w:r>
          <w:r>
            <w:rPr>
              <w:rFonts w:hint="eastAsia"/>
            </w:rPr>
            <w:fldChar w:fldCharType="end"/>
          </w:r>
        </w:p>
        <w:p w14:paraId="195D9584">
          <w:pPr>
            <w:pStyle w:val="14"/>
            <w:tabs>
              <w:tab w:val="right" w:leader="dot" w:pos="8306"/>
            </w:tabs>
          </w:pPr>
          <w:r>
            <w:rPr>
              <w:rFonts w:hint="eastAsia"/>
            </w:rPr>
            <w:fldChar w:fldCharType="begin"/>
          </w:r>
          <w:r>
            <w:rPr>
              <w:rFonts w:hint="eastAsia"/>
            </w:rPr>
            <w:instrText xml:space="preserve"> HYPERLINK \l _Toc19510 </w:instrText>
          </w:r>
          <w:r>
            <w:rPr>
              <w:rFonts w:hint="eastAsia"/>
            </w:rPr>
            <w:fldChar w:fldCharType="separate"/>
          </w:r>
          <w:r>
            <w:rPr>
              <w:rFonts w:hint="eastAsia" w:ascii="Times New Roman" w:hAnsi="Times New Roman" w:eastAsia="楷体" w:cs="Times New Roman"/>
              <w:szCs w:val="24"/>
            </w:rPr>
            <w:t>第2条 指导思想</w:t>
          </w:r>
          <w:r>
            <w:tab/>
          </w:r>
          <w:r>
            <w:fldChar w:fldCharType="begin"/>
          </w:r>
          <w:r>
            <w:instrText xml:space="preserve"> PAGEREF _Toc19510 \h </w:instrText>
          </w:r>
          <w:r>
            <w:fldChar w:fldCharType="separate"/>
          </w:r>
          <w:r>
            <w:t>1</w:t>
          </w:r>
          <w:r>
            <w:fldChar w:fldCharType="end"/>
          </w:r>
          <w:r>
            <w:rPr>
              <w:rFonts w:hint="eastAsia"/>
            </w:rPr>
            <w:fldChar w:fldCharType="end"/>
          </w:r>
        </w:p>
        <w:p w14:paraId="1BFE34AC">
          <w:pPr>
            <w:pStyle w:val="14"/>
            <w:tabs>
              <w:tab w:val="right" w:leader="dot" w:pos="8306"/>
            </w:tabs>
          </w:pPr>
          <w:r>
            <w:rPr>
              <w:rFonts w:hint="eastAsia"/>
            </w:rPr>
            <w:fldChar w:fldCharType="begin"/>
          </w:r>
          <w:r>
            <w:rPr>
              <w:rFonts w:hint="eastAsia"/>
            </w:rPr>
            <w:instrText xml:space="preserve"> HYPERLINK \l _Toc24644 </w:instrText>
          </w:r>
          <w:r>
            <w:rPr>
              <w:rFonts w:hint="eastAsia"/>
            </w:rPr>
            <w:fldChar w:fldCharType="separate"/>
          </w:r>
          <w:r>
            <w:rPr>
              <w:rFonts w:hint="eastAsia" w:ascii="Times New Roman" w:hAnsi="Times New Roman" w:eastAsia="楷体" w:cs="Times New Roman"/>
              <w:szCs w:val="24"/>
            </w:rPr>
            <w:t>第3条 规划定位</w:t>
          </w:r>
          <w:r>
            <w:tab/>
          </w:r>
          <w:r>
            <w:fldChar w:fldCharType="begin"/>
          </w:r>
          <w:r>
            <w:instrText xml:space="preserve"> PAGEREF _Toc24644 \h </w:instrText>
          </w:r>
          <w:r>
            <w:fldChar w:fldCharType="separate"/>
          </w:r>
          <w:r>
            <w:t>2</w:t>
          </w:r>
          <w:r>
            <w:fldChar w:fldCharType="end"/>
          </w:r>
          <w:r>
            <w:rPr>
              <w:rFonts w:hint="eastAsia"/>
            </w:rPr>
            <w:fldChar w:fldCharType="end"/>
          </w:r>
        </w:p>
        <w:p w14:paraId="2B6B5452">
          <w:pPr>
            <w:pStyle w:val="14"/>
            <w:tabs>
              <w:tab w:val="right" w:leader="dot" w:pos="8306"/>
            </w:tabs>
          </w:pPr>
          <w:r>
            <w:rPr>
              <w:rFonts w:hint="eastAsia"/>
            </w:rPr>
            <w:fldChar w:fldCharType="begin"/>
          </w:r>
          <w:r>
            <w:rPr>
              <w:rFonts w:hint="eastAsia"/>
            </w:rPr>
            <w:instrText xml:space="preserve"> HYPERLINK \l _Toc21303 </w:instrText>
          </w:r>
          <w:r>
            <w:rPr>
              <w:rFonts w:hint="eastAsia"/>
            </w:rPr>
            <w:fldChar w:fldCharType="separate"/>
          </w:r>
          <w:r>
            <w:rPr>
              <w:rFonts w:hint="eastAsia" w:ascii="Times New Roman" w:hAnsi="Times New Roman" w:eastAsia="楷体" w:cs="Times New Roman"/>
              <w:szCs w:val="24"/>
            </w:rPr>
            <w:t>第4条 规划原则</w:t>
          </w:r>
          <w:r>
            <w:tab/>
          </w:r>
          <w:r>
            <w:fldChar w:fldCharType="begin"/>
          </w:r>
          <w:r>
            <w:instrText xml:space="preserve"> PAGEREF _Toc21303 \h </w:instrText>
          </w:r>
          <w:r>
            <w:fldChar w:fldCharType="separate"/>
          </w:r>
          <w:r>
            <w:t>2</w:t>
          </w:r>
          <w:r>
            <w:fldChar w:fldCharType="end"/>
          </w:r>
          <w:r>
            <w:rPr>
              <w:rFonts w:hint="eastAsia"/>
            </w:rPr>
            <w:fldChar w:fldCharType="end"/>
          </w:r>
        </w:p>
        <w:p w14:paraId="0774189C">
          <w:pPr>
            <w:pStyle w:val="14"/>
            <w:tabs>
              <w:tab w:val="right" w:leader="dot" w:pos="8306"/>
            </w:tabs>
          </w:pPr>
          <w:r>
            <w:rPr>
              <w:rFonts w:hint="eastAsia"/>
            </w:rPr>
            <w:fldChar w:fldCharType="begin"/>
          </w:r>
          <w:r>
            <w:rPr>
              <w:rFonts w:hint="eastAsia"/>
            </w:rPr>
            <w:instrText xml:space="preserve"> HYPERLINK \l _Toc27448 </w:instrText>
          </w:r>
          <w:r>
            <w:rPr>
              <w:rFonts w:hint="eastAsia"/>
            </w:rPr>
            <w:fldChar w:fldCharType="separate"/>
          </w:r>
          <w:r>
            <w:rPr>
              <w:rFonts w:hint="eastAsia" w:ascii="Times New Roman" w:hAnsi="Times New Roman" w:eastAsia="楷体" w:cs="Times New Roman"/>
              <w:szCs w:val="24"/>
            </w:rPr>
            <w:t>第5条 规划期限</w:t>
          </w:r>
          <w:r>
            <w:tab/>
          </w:r>
          <w:r>
            <w:fldChar w:fldCharType="begin"/>
          </w:r>
          <w:r>
            <w:instrText xml:space="preserve"> PAGEREF _Toc27448 \h </w:instrText>
          </w:r>
          <w:r>
            <w:fldChar w:fldCharType="separate"/>
          </w:r>
          <w:r>
            <w:t>3</w:t>
          </w:r>
          <w:r>
            <w:fldChar w:fldCharType="end"/>
          </w:r>
          <w:r>
            <w:rPr>
              <w:rFonts w:hint="eastAsia"/>
            </w:rPr>
            <w:fldChar w:fldCharType="end"/>
          </w:r>
        </w:p>
        <w:p w14:paraId="54423E6E">
          <w:pPr>
            <w:pStyle w:val="13"/>
            <w:tabs>
              <w:tab w:val="right" w:leader="dot" w:pos="8306"/>
            </w:tabs>
          </w:pPr>
          <w:r>
            <w:rPr>
              <w:rFonts w:hint="eastAsia"/>
            </w:rPr>
            <w:fldChar w:fldCharType="begin"/>
          </w:r>
          <w:r>
            <w:rPr>
              <w:rFonts w:hint="eastAsia"/>
            </w:rPr>
            <w:instrText xml:space="preserve"> HYPERLINK \l _Toc13146 </w:instrText>
          </w:r>
          <w:r>
            <w:rPr>
              <w:rFonts w:hint="eastAsia"/>
            </w:rPr>
            <w:fldChar w:fldCharType="separate"/>
          </w:r>
          <w:r>
            <w:rPr>
              <w:rFonts w:hint="eastAsia" w:ascii="方正小标宋简体" w:hAnsi="方正小标宋简体" w:eastAsia="方正小标宋简体" w:cs="方正小标宋简体"/>
              <w:bCs w:val="0"/>
              <w:szCs w:val="36"/>
            </w:rPr>
            <w:t xml:space="preserve">第二章 </w:t>
          </w:r>
          <w:r>
            <w:rPr>
              <w:rFonts w:hint="eastAsia" w:ascii="Times New Roman" w:hAnsi="Times New Roman" w:eastAsia="方正小标宋简体" w:cs="方正小标宋简体"/>
              <w:bCs w:val="0"/>
              <w:szCs w:val="36"/>
            </w:rPr>
            <w:t>现状基础</w:t>
          </w:r>
          <w:r>
            <w:tab/>
          </w:r>
          <w:r>
            <w:fldChar w:fldCharType="begin"/>
          </w:r>
          <w:r>
            <w:instrText xml:space="preserve"> PAGEREF _Toc13146 \h </w:instrText>
          </w:r>
          <w:r>
            <w:fldChar w:fldCharType="separate"/>
          </w:r>
          <w:r>
            <w:t>4</w:t>
          </w:r>
          <w:r>
            <w:fldChar w:fldCharType="end"/>
          </w:r>
          <w:r>
            <w:rPr>
              <w:rFonts w:hint="eastAsia"/>
            </w:rPr>
            <w:fldChar w:fldCharType="end"/>
          </w:r>
        </w:p>
        <w:p w14:paraId="04D96376">
          <w:pPr>
            <w:pStyle w:val="14"/>
            <w:tabs>
              <w:tab w:val="right" w:leader="dot" w:pos="8306"/>
            </w:tabs>
          </w:pPr>
          <w:r>
            <w:rPr>
              <w:rFonts w:hint="eastAsia"/>
            </w:rPr>
            <w:fldChar w:fldCharType="begin"/>
          </w:r>
          <w:r>
            <w:rPr>
              <w:rFonts w:hint="eastAsia"/>
            </w:rPr>
            <w:instrText xml:space="preserve"> HYPERLINK \l _Toc17011 </w:instrText>
          </w:r>
          <w:r>
            <w:rPr>
              <w:rFonts w:hint="eastAsia"/>
            </w:rPr>
            <w:fldChar w:fldCharType="separate"/>
          </w:r>
          <w:r>
            <w:rPr>
              <w:rFonts w:hint="eastAsia" w:ascii="Times New Roman" w:hAnsi="Times New Roman" w:eastAsia="黑体" w:cs="Times New Roman"/>
            </w:rPr>
            <w:t xml:space="preserve">第一节 </w:t>
          </w:r>
          <w:r>
            <w:rPr>
              <w:rFonts w:hint="eastAsia" w:ascii="Times New Roman" w:hAnsi="Times New Roman" w:cs="Times New Roman"/>
            </w:rPr>
            <w:t>现状特征与主要问题</w:t>
          </w:r>
          <w:r>
            <w:tab/>
          </w:r>
          <w:r>
            <w:fldChar w:fldCharType="begin"/>
          </w:r>
          <w:r>
            <w:instrText xml:space="preserve"> PAGEREF _Toc17011 \h </w:instrText>
          </w:r>
          <w:r>
            <w:fldChar w:fldCharType="separate"/>
          </w:r>
          <w:r>
            <w:t>4</w:t>
          </w:r>
          <w:r>
            <w:fldChar w:fldCharType="end"/>
          </w:r>
          <w:r>
            <w:rPr>
              <w:rFonts w:hint="eastAsia"/>
            </w:rPr>
            <w:fldChar w:fldCharType="end"/>
          </w:r>
        </w:p>
        <w:p w14:paraId="25B0BCA2">
          <w:pPr>
            <w:pStyle w:val="14"/>
            <w:tabs>
              <w:tab w:val="right" w:leader="dot" w:pos="8306"/>
            </w:tabs>
          </w:pPr>
          <w:r>
            <w:rPr>
              <w:rFonts w:hint="eastAsia"/>
            </w:rPr>
            <w:fldChar w:fldCharType="begin"/>
          </w:r>
          <w:r>
            <w:rPr>
              <w:rFonts w:hint="eastAsia"/>
            </w:rPr>
            <w:instrText xml:space="preserve"> HYPERLINK \l _Toc22231 </w:instrText>
          </w:r>
          <w:r>
            <w:rPr>
              <w:rFonts w:hint="eastAsia"/>
            </w:rPr>
            <w:fldChar w:fldCharType="separate"/>
          </w:r>
          <w:r>
            <w:rPr>
              <w:rFonts w:hint="eastAsia" w:ascii="Times New Roman" w:hAnsi="Times New Roman" w:eastAsia="黑体" w:cs="Times New Roman"/>
            </w:rPr>
            <w:t xml:space="preserve">第二节 </w:t>
          </w:r>
          <w:r>
            <w:rPr>
              <w:rFonts w:hint="eastAsia" w:ascii="Times New Roman" w:hAnsi="Times New Roman" w:cs="Times New Roman"/>
            </w:rPr>
            <w:t>机遇与挑战</w:t>
          </w:r>
          <w:r>
            <w:tab/>
          </w:r>
          <w:r>
            <w:fldChar w:fldCharType="begin"/>
          </w:r>
          <w:r>
            <w:instrText xml:space="preserve"> PAGEREF _Toc22231 \h </w:instrText>
          </w:r>
          <w:r>
            <w:fldChar w:fldCharType="separate"/>
          </w:r>
          <w:r>
            <w:t>6</w:t>
          </w:r>
          <w:r>
            <w:fldChar w:fldCharType="end"/>
          </w:r>
          <w:r>
            <w:rPr>
              <w:rFonts w:hint="eastAsia"/>
            </w:rPr>
            <w:fldChar w:fldCharType="end"/>
          </w:r>
        </w:p>
        <w:p w14:paraId="6CD64948">
          <w:pPr>
            <w:pStyle w:val="13"/>
            <w:tabs>
              <w:tab w:val="right" w:leader="dot" w:pos="8306"/>
            </w:tabs>
          </w:pPr>
          <w:r>
            <w:rPr>
              <w:rFonts w:hint="eastAsia"/>
            </w:rPr>
            <w:fldChar w:fldCharType="begin"/>
          </w:r>
          <w:r>
            <w:rPr>
              <w:rFonts w:hint="eastAsia"/>
            </w:rPr>
            <w:instrText xml:space="preserve"> HYPERLINK \l _Toc11278 </w:instrText>
          </w:r>
          <w:r>
            <w:rPr>
              <w:rFonts w:hint="eastAsia"/>
            </w:rPr>
            <w:fldChar w:fldCharType="separate"/>
          </w:r>
          <w:r>
            <w:rPr>
              <w:rFonts w:hint="eastAsia" w:ascii="方正小标宋简体" w:hAnsi="方正小标宋简体" w:eastAsia="方正小标宋简体" w:cs="方正小标宋简体"/>
              <w:bCs w:val="0"/>
              <w:szCs w:val="36"/>
            </w:rPr>
            <w:t xml:space="preserve">第三章 </w:t>
          </w:r>
          <w:r>
            <w:rPr>
              <w:rFonts w:hint="eastAsia" w:ascii="Times New Roman" w:hAnsi="Times New Roman" w:eastAsia="方正小标宋简体" w:cs="方正小标宋简体"/>
              <w:bCs w:val="0"/>
              <w:szCs w:val="36"/>
            </w:rPr>
            <w:t>发展目标与空间战略</w:t>
          </w:r>
          <w:r>
            <w:tab/>
          </w:r>
          <w:r>
            <w:fldChar w:fldCharType="begin"/>
          </w:r>
          <w:r>
            <w:instrText xml:space="preserve"> PAGEREF _Toc11278 \h </w:instrText>
          </w:r>
          <w:r>
            <w:fldChar w:fldCharType="separate"/>
          </w:r>
          <w:r>
            <w:t>8</w:t>
          </w:r>
          <w:r>
            <w:fldChar w:fldCharType="end"/>
          </w:r>
          <w:r>
            <w:rPr>
              <w:rFonts w:hint="eastAsia"/>
            </w:rPr>
            <w:fldChar w:fldCharType="end"/>
          </w:r>
        </w:p>
        <w:p w14:paraId="5D8735C6">
          <w:pPr>
            <w:pStyle w:val="14"/>
            <w:tabs>
              <w:tab w:val="right" w:leader="dot" w:pos="8306"/>
            </w:tabs>
          </w:pPr>
          <w:r>
            <w:rPr>
              <w:rFonts w:hint="eastAsia"/>
            </w:rPr>
            <w:fldChar w:fldCharType="begin"/>
          </w:r>
          <w:r>
            <w:rPr>
              <w:rFonts w:hint="eastAsia"/>
            </w:rPr>
            <w:instrText xml:space="preserve"> HYPERLINK \l _Toc12018 </w:instrText>
          </w:r>
          <w:r>
            <w:rPr>
              <w:rFonts w:hint="eastAsia"/>
            </w:rPr>
            <w:fldChar w:fldCharType="separate"/>
          </w:r>
          <w:r>
            <w:rPr>
              <w:rFonts w:hint="eastAsia" w:ascii="Times New Roman" w:hAnsi="Times New Roman" w:eastAsia="黑体" w:cs="Times New Roman"/>
            </w:rPr>
            <w:t xml:space="preserve">第一节 </w:t>
          </w:r>
          <w:r>
            <w:rPr>
              <w:rFonts w:hint="eastAsia" w:ascii="Times New Roman" w:hAnsi="Times New Roman" w:cs="Times New Roman"/>
            </w:rPr>
            <w:t>规划定位与目标</w:t>
          </w:r>
          <w:r>
            <w:tab/>
          </w:r>
          <w:r>
            <w:fldChar w:fldCharType="begin"/>
          </w:r>
          <w:r>
            <w:instrText xml:space="preserve"> PAGEREF _Toc12018 \h </w:instrText>
          </w:r>
          <w:r>
            <w:fldChar w:fldCharType="separate"/>
          </w:r>
          <w:r>
            <w:t>8</w:t>
          </w:r>
          <w:r>
            <w:fldChar w:fldCharType="end"/>
          </w:r>
          <w:r>
            <w:rPr>
              <w:rFonts w:hint="eastAsia"/>
            </w:rPr>
            <w:fldChar w:fldCharType="end"/>
          </w:r>
        </w:p>
        <w:p w14:paraId="59D36E50">
          <w:pPr>
            <w:pStyle w:val="14"/>
            <w:tabs>
              <w:tab w:val="right" w:leader="dot" w:pos="8306"/>
            </w:tabs>
          </w:pPr>
          <w:r>
            <w:rPr>
              <w:rFonts w:hint="eastAsia"/>
            </w:rPr>
            <w:fldChar w:fldCharType="begin"/>
          </w:r>
          <w:r>
            <w:rPr>
              <w:rFonts w:hint="eastAsia"/>
            </w:rPr>
            <w:instrText xml:space="preserve"> HYPERLINK \l _Toc12702 </w:instrText>
          </w:r>
          <w:r>
            <w:rPr>
              <w:rFonts w:hint="eastAsia"/>
            </w:rPr>
            <w:fldChar w:fldCharType="separate"/>
          </w:r>
          <w:r>
            <w:rPr>
              <w:rFonts w:hint="eastAsia" w:ascii="Times New Roman" w:hAnsi="Times New Roman" w:eastAsia="黑体" w:cs="Times New Roman"/>
            </w:rPr>
            <w:t xml:space="preserve">第二节 </w:t>
          </w:r>
          <w:r>
            <w:rPr>
              <w:rFonts w:hint="eastAsia" w:ascii="Times New Roman" w:hAnsi="Times New Roman" w:cs="Times New Roman"/>
            </w:rPr>
            <w:t>空间发展策略</w:t>
          </w:r>
          <w:r>
            <w:tab/>
          </w:r>
          <w:r>
            <w:fldChar w:fldCharType="begin"/>
          </w:r>
          <w:r>
            <w:instrText xml:space="preserve"> PAGEREF _Toc12702 \h </w:instrText>
          </w:r>
          <w:r>
            <w:fldChar w:fldCharType="separate"/>
          </w:r>
          <w:r>
            <w:t>9</w:t>
          </w:r>
          <w:r>
            <w:fldChar w:fldCharType="end"/>
          </w:r>
          <w:r>
            <w:rPr>
              <w:rFonts w:hint="eastAsia"/>
            </w:rPr>
            <w:fldChar w:fldCharType="end"/>
          </w:r>
        </w:p>
        <w:p w14:paraId="61146A67">
          <w:pPr>
            <w:pStyle w:val="14"/>
            <w:tabs>
              <w:tab w:val="right" w:leader="dot" w:pos="8306"/>
            </w:tabs>
          </w:pPr>
          <w:r>
            <w:rPr>
              <w:rFonts w:hint="eastAsia"/>
            </w:rPr>
            <w:fldChar w:fldCharType="begin"/>
          </w:r>
          <w:r>
            <w:rPr>
              <w:rFonts w:hint="eastAsia"/>
            </w:rPr>
            <w:instrText xml:space="preserve"> HYPERLINK \l _Toc3778 </w:instrText>
          </w:r>
          <w:r>
            <w:rPr>
              <w:rFonts w:hint="eastAsia"/>
            </w:rPr>
            <w:fldChar w:fldCharType="separate"/>
          </w:r>
          <w:r>
            <w:rPr>
              <w:rFonts w:hint="eastAsia" w:ascii="Times New Roman" w:hAnsi="Times New Roman" w:eastAsia="黑体" w:cs="Times New Roman"/>
            </w:rPr>
            <w:t xml:space="preserve">第三节 </w:t>
          </w:r>
          <w:r>
            <w:rPr>
              <w:rFonts w:hint="eastAsia" w:ascii="Times New Roman" w:hAnsi="Times New Roman" w:cs="Times New Roman"/>
            </w:rPr>
            <w:t>指标体系与上位规划落实</w:t>
          </w:r>
          <w:r>
            <w:tab/>
          </w:r>
          <w:r>
            <w:fldChar w:fldCharType="begin"/>
          </w:r>
          <w:r>
            <w:instrText xml:space="preserve"> PAGEREF _Toc3778 \h </w:instrText>
          </w:r>
          <w:r>
            <w:fldChar w:fldCharType="separate"/>
          </w:r>
          <w:r>
            <w:t>10</w:t>
          </w:r>
          <w:r>
            <w:fldChar w:fldCharType="end"/>
          </w:r>
          <w:r>
            <w:rPr>
              <w:rFonts w:hint="eastAsia"/>
            </w:rPr>
            <w:fldChar w:fldCharType="end"/>
          </w:r>
        </w:p>
        <w:p w14:paraId="7A8E0720">
          <w:pPr>
            <w:pStyle w:val="13"/>
            <w:tabs>
              <w:tab w:val="right" w:leader="dot" w:pos="8306"/>
            </w:tabs>
          </w:pPr>
          <w:r>
            <w:rPr>
              <w:rFonts w:hint="eastAsia"/>
            </w:rPr>
            <w:fldChar w:fldCharType="begin"/>
          </w:r>
          <w:r>
            <w:rPr>
              <w:rFonts w:hint="eastAsia"/>
            </w:rPr>
            <w:instrText xml:space="preserve"> HYPERLINK \l _Toc29263 </w:instrText>
          </w:r>
          <w:r>
            <w:rPr>
              <w:rFonts w:hint="eastAsia"/>
            </w:rPr>
            <w:fldChar w:fldCharType="separate"/>
          </w:r>
          <w:r>
            <w:rPr>
              <w:rFonts w:hint="eastAsia" w:ascii="方正小标宋简体" w:hAnsi="方正小标宋简体" w:eastAsia="方正小标宋简体" w:cs="方正小标宋简体"/>
              <w:bCs w:val="0"/>
              <w:szCs w:val="36"/>
            </w:rPr>
            <w:t xml:space="preserve">第四章 </w:t>
          </w:r>
          <w:r>
            <w:rPr>
              <w:rFonts w:hint="eastAsia" w:ascii="Times New Roman" w:hAnsi="Times New Roman" w:eastAsia="方正小标宋简体" w:cs="方正小标宋简体"/>
              <w:bCs w:val="0"/>
              <w:szCs w:val="36"/>
            </w:rPr>
            <w:t>国土空间开发保护格局</w:t>
          </w:r>
          <w:r>
            <w:tab/>
          </w:r>
          <w:r>
            <w:fldChar w:fldCharType="begin"/>
          </w:r>
          <w:r>
            <w:instrText xml:space="preserve"> PAGEREF _Toc29263 \h </w:instrText>
          </w:r>
          <w:r>
            <w:fldChar w:fldCharType="separate"/>
          </w:r>
          <w:r>
            <w:t>12</w:t>
          </w:r>
          <w:r>
            <w:fldChar w:fldCharType="end"/>
          </w:r>
          <w:r>
            <w:rPr>
              <w:rFonts w:hint="eastAsia"/>
            </w:rPr>
            <w:fldChar w:fldCharType="end"/>
          </w:r>
        </w:p>
        <w:p w14:paraId="4508CDC7">
          <w:pPr>
            <w:pStyle w:val="14"/>
            <w:tabs>
              <w:tab w:val="right" w:leader="dot" w:pos="8306"/>
            </w:tabs>
          </w:pPr>
          <w:r>
            <w:rPr>
              <w:rFonts w:hint="eastAsia"/>
            </w:rPr>
            <w:fldChar w:fldCharType="begin"/>
          </w:r>
          <w:r>
            <w:rPr>
              <w:rFonts w:hint="eastAsia"/>
            </w:rPr>
            <w:instrText xml:space="preserve"> HYPERLINK \l _Toc5998 </w:instrText>
          </w:r>
          <w:r>
            <w:rPr>
              <w:rFonts w:hint="eastAsia"/>
            </w:rPr>
            <w:fldChar w:fldCharType="separate"/>
          </w:r>
          <w:r>
            <w:rPr>
              <w:rFonts w:hint="eastAsia" w:ascii="Times New Roman" w:hAnsi="Times New Roman" w:eastAsia="黑体" w:cs="Times New Roman"/>
            </w:rPr>
            <w:t xml:space="preserve">第一节 </w:t>
          </w:r>
          <w:r>
            <w:rPr>
              <w:rFonts w:hint="eastAsia" w:ascii="Times New Roman" w:hAnsi="Times New Roman" w:cs="Times New Roman"/>
            </w:rPr>
            <w:t>区域协调发展格局</w:t>
          </w:r>
          <w:r>
            <w:tab/>
          </w:r>
          <w:r>
            <w:fldChar w:fldCharType="begin"/>
          </w:r>
          <w:r>
            <w:instrText xml:space="preserve"> PAGEREF _Toc5998 \h </w:instrText>
          </w:r>
          <w:r>
            <w:fldChar w:fldCharType="separate"/>
          </w:r>
          <w:r>
            <w:t>12</w:t>
          </w:r>
          <w:r>
            <w:fldChar w:fldCharType="end"/>
          </w:r>
          <w:r>
            <w:rPr>
              <w:rFonts w:hint="eastAsia"/>
            </w:rPr>
            <w:fldChar w:fldCharType="end"/>
          </w:r>
        </w:p>
        <w:p w14:paraId="19C58DD9">
          <w:pPr>
            <w:pStyle w:val="14"/>
            <w:tabs>
              <w:tab w:val="right" w:leader="dot" w:pos="8306"/>
            </w:tabs>
          </w:pPr>
          <w:r>
            <w:rPr>
              <w:rFonts w:hint="eastAsia"/>
            </w:rPr>
            <w:fldChar w:fldCharType="begin"/>
          </w:r>
          <w:r>
            <w:rPr>
              <w:rFonts w:hint="eastAsia"/>
            </w:rPr>
            <w:instrText xml:space="preserve"> HYPERLINK \l _Toc13998 </w:instrText>
          </w:r>
          <w:r>
            <w:rPr>
              <w:rFonts w:hint="eastAsia"/>
            </w:rPr>
            <w:fldChar w:fldCharType="separate"/>
          </w:r>
          <w:r>
            <w:rPr>
              <w:rFonts w:hint="eastAsia" w:ascii="Times New Roman" w:hAnsi="Times New Roman" w:eastAsia="黑体" w:cs="Times New Roman"/>
            </w:rPr>
            <w:t xml:space="preserve">第二节 </w:t>
          </w:r>
          <w:r>
            <w:rPr>
              <w:rFonts w:hint="eastAsia" w:ascii="Times New Roman" w:hAnsi="Times New Roman" w:cs="Times New Roman"/>
            </w:rPr>
            <w:t>落实三条控制线</w:t>
          </w:r>
          <w:r>
            <w:tab/>
          </w:r>
          <w:r>
            <w:fldChar w:fldCharType="begin"/>
          </w:r>
          <w:r>
            <w:instrText xml:space="preserve"> PAGEREF _Toc13998 \h </w:instrText>
          </w:r>
          <w:r>
            <w:fldChar w:fldCharType="separate"/>
          </w:r>
          <w:r>
            <w:t>13</w:t>
          </w:r>
          <w:r>
            <w:fldChar w:fldCharType="end"/>
          </w:r>
          <w:r>
            <w:rPr>
              <w:rFonts w:hint="eastAsia"/>
            </w:rPr>
            <w:fldChar w:fldCharType="end"/>
          </w:r>
        </w:p>
        <w:p w14:paraId="1EC965E2">
          <w:pPr>
            <w:pStyle w:val="14"/>
            <w:tabs>
              <w:tab w:val="right" w:leader="dot" w:pos="8306"/>
            </w:tabs>
          </w:pPr>
          <w:r>
            <w:rPr>
              <w:rFonts w:hint="eastAsia"/>
            </w:rPr>
            <w:fldChar w:fldCharType="begin"/>
          </w:r>
          <w:r>
            <w:rPr>
              <w:rFonts w:hint="eastAsia"/>
            </w:rPr>
            <w:instrText xml:space="preserve"> HYPERLINK \l _Toc29514 </w:instrText>
          </w:r>
          <w:r>
            <w:rPr>
              <w:rFonts w:hint="eastAsia"/>
            </w:rPr>
            <w:fldChar w:fldCharType="separate"/>
          </w:r>
          <w:r>
            <w:rPr>
              <w:rFonts w:hint="eastAsia" w:ascii="Times New Roman" w:hAnsi="Times New Roman" w:eastAsia="黑体" w:cs="Times New Roman"/>
            </w:rPr>
            <w:t xml:space="preserve">第三节 </w:t>
          </w:r>
          <w:r>
            <w:rPr>
              <w:rFonts w:hint="eastAsia" w:ascii="Times New Roman" w:hAnsi="Times New Roman" w:cs="Times New Roman"/>
            </w:rPr>
            <w:t>总体空间格局</w:t>
          </w:r>
          <w:r>
            <w:tab/>
          </w:r>
          <w:r>
            <w:fldChar w:fldCharType="begin"/>
          </w:r>
          <w:r>
            <w:instrText xml:space="preserve"> PAGEREF _Toc29514 \h </w:instrText>
          </w:r>
          <w:r>
            <w:fldChar w:fldCharType="separate"/>
          </w:r>
          <w:r>
            <w:t>16</w:t>
          </w:r>
          <w:r>
            <w:fldChar w:fldCharType="end"/>
          </w:r>
          <w:r>
            <w:rPr>
              <w:rFonts w:hint="eastAsia"/>
            </w:rPr>
            <w:fldChar w:fldCharType="end"/>
          </w:r>
        </w:p>
        <w:p w14:paraId="51BDB999">
          <w:pPr>
            <w:pStyle w:val="14"/>
            <w:tabs>
              <w:tab w:val="right" w:leader="dot" w:pos="8306"/>
            </w:tabs>
          </w:pPr>
          <w:r>
            <w:rPr>
              <w:rFonts w:hint="eastAsia"/>
            </w:rPr>
            <w:fldChar w:fldCharType="begin"/>
          </w:r>
          <w:r>
            <w:rPr>
              <w:rFonts w:hint="eastAsia"/>
            </w:rPr>
            <w:instrText xml:space="preserve"> HYPERLINK \l _Toc23505 </w:instrText>
          </w:r>
          <w:r>
            <w:rPr>
              <w:rFonts w:hint="eastAsia"/>
            </w:rPr>
            <w:fldChar w:fldCharType="separate"/>
          </w:r>
          <w:r>
            <w:rPr>
              <w:rFonts w:hint="eastAsia" w:ascii="Times New Roman" w:hAnsi="Times New Roman" w:eastAsia="黑体" w:cs="Times New Roman"/>
            </w:rPr>
            <w:t xml:space="preserve">第四节 </w:t>
          </w:r>
          <w:r>
            <w:rPr>
              <w:rFonts w:hint="eastAsia" w:ascii="Times New Roman" w:hAnsi="Times New Roman" w:cs="Times New Roman"/>
            </w:rPr>
            <w:t>规划分区</w:t>
          </w:r>
          <w:r>
            <w:tab/>
          </w:r>
          <w:r>
            <w:fldChar w:fldCharType="begin"/>
          </w:r>
          <w:r>
            <w:instrText xml:space="preserve"> PAGEREF _Toc23505 \h </w:instrText>
          </w:r>
          <w:r>
            <w:fldChar w:fldCharType="separate"/>
          </w:r>
          <w:r>
            <w:t>17</w:t>
          </w:r>
          <w:r>
            <w:fldChar w:fldCharType="end"/>
          </w:r>
          <w:r>
            <w:rPr>
              <w:rFonts w:hint="eastAsia"/>
            </w:rPr>
            <w:fldChar w:fldCharType="end"/>
          </w:r>
        </w:p>
        <w:p w14:paraId="42DD552B">
          <w:pPr>
            <w:pStyle w:val="14"/>
            <w:tabs>
              <w:tab w:val="right" w:leader="dot" w:pos="8306"/>
            </w:tabs>
          </w:pPr>
          <w:r>
            <w:rPr>
              <w:rFonts w:hint="eastAsia"/>
            </w:rPr>
            <w:fldChar w:fldCharType="begin"/>
          </w:r>
          <w:r>
            <w:rPr>
              <w:rFonts w:hint="eastAsia"/>
            </w:rPr>
            <w:instrText xml:space="preserve"> HYPERLINK \l _Toc16092 </w:instrText>
          </w:r>
          <w:r>
            <w:rPr>
              <w:rFonts w:hint="eastAsia"/>
            </w:rPr>
            <w:fldChar w:fldCharType="separate"/>
          </w:r>
          <w:r>
            <w:rPr>
              <w:rFonts w:hint="eastAsia" w:ascii="Times New Roman" w:hAnsi="Times New Roman" w:eastAsia="黑体" w:cs="Times New Roman"/>
            </w:rPr>
            <w:t xml:space="preserve">第五节 </w:t>
          </w:r>
          <w:r>
            <w:rPr>
              <w:rFonts w:hint="eastAsia" w:ascii="Times New Roman" w:hAnsi="Times New Roman" w:cs="Times New Roman"/>
            </w:rPr>
            <w:t>用地用途和结构调整</w:t>
          </w:r>
          <w:r>
            <w:tab/>
          </w:r>
          <w:r>
            <w:fldChar w:fldCharType="begin"/>
          </w:r>
          <w:r>
            <w:instrText xml:space="preserve"> PAGEREF _Toc16092 \h </w:instrText>
          </w:r>
          <w:r>
            <w:fldChar w:fldCharType="separate"/>
          </w:r>
          <w:r>
            <w:t>19</w:t>
          </w:r>
          <w:r>
            <w:fldChar w:fldCharType="end"/>
          </w:r>
          <w:r>
            <w:rPr>
              <w:rFonts w:hint="eastAsia"/>
            </w:rPr>
            <w:fldChar w:fldCharType="end"/>
          </w:r>
        </w:p>
        <w:p w14:paraId="1D8B285F">
          <w:pPr>
            <w:pStyle w:val="13"/>
            <w:tabs>
              <w:tab w:val="right" w:leader="dot" w:pos="8306"/>
            </w:tabs>
          </w:pPr>
          <w:r>
            <w:rPr>
              <w:rFonts w:hint="eastAsia"/>
            </w:rPr>
            <w:fldChar w:fldCharType="begin"/>
          </w:r>
          <w:r>
            <w:rPr>
              <w:rFonts w:hint="eastAsia"/>
            </w:rPr>
            <w:instrText xml:space="preserve"> HYPERLINK \l _Toc6342 </w:instrText>
          </w:r>
          <w:r>
            <w:rPr>
              <w:rFonts w:hint="eastAsia"/>
            </w:rPr>
            <w:fldChar w:fldCharType="separate"/>
          </w:r>
          <w:r>
            <w:rPr>
              <w:rFonts w:hint="eastAsia" w:ascii="方正小标宋简体" w:hAnsi="方正小标宋简体" w:eastAsia="方正小标宋简体" w:cs="方正小标宋简体"/>
              <w:bCs w:val="0"/>
              <w:szCs w:val="36"/>
            </w:rPr>
            <w:t xml:space="preserve">第五章 </w:t>
          </w:r>
          <w:r>
            <w:rPr>
              <w:rFonts w:hint="eastAsia" w:ascii="Times New Roman" w:hAnsi="Times New Roman" w:eastAsia="方正小标宋简体" w:cs="方正小标宋简体"/>
              <w:bCs w:val="0"/>
              <w:szCs w:val="36"/>
            </w:rPr>
            <w:t>空间布局优化</w:t>
          </w:r>
          <w:r>
            <w:tab/>
          </w:r>
          <w:r>
            <w:fldChar w:fldCharType="begin"/>
          </w:r>
          <w:r>
            <w:instrText xml:space="preserve"> PAGEREF _Toc6342 \h </w:instrText>
          </w:r>
          <w:r>
            <w:fldChar w:fldCharType="separate"/>
          </w:r>
          <w:r>
            <w:t>20</w:t>
          </w:r>
          <w:r>
            <w:fldChar w:fldCharType="end"/>
          </w:r>
          <w:r>
            <w:rPr>
              <w:rFonts w:hint="eastAsia"/>
            </w:rPr>
            <w:fldChar w:fldCharType="end"/>
          </w:r>
        </w:p>
        <w:p w14:paraId="7BF30A01">
          <w:pPr>
            <w:pStyle w:val="14"/>
            <w:tabs>
              <w:tab w:val="right" w:leader="dot" w:pos="8306"/>
            </w:tabs>
          </w:pPr>
          <w:r>
            <w:rPr>
              <w:rFonts w:hint="eastAsia"/>
            </w:rPr>
            <w:fldChar w:fldCharType="begin"/>
          </w:r>
          <w:r>
            <w:rPr>
              <w:rFonts w:hint="eastAsia"/>
            </w:rPr>
            <w:instrText xml:space="preserve"> HYPERLINK \l _Toc14103 </w:instrText>
          </w:r>
          <w:r>
            <w:rPr>
              <w:rFonts w:hint="eastAsia"/>
            </w:rPr>
            <w:fldChar w:fldCharType="separate"/>
          </w:r>
          <w:r>
            <w:rPr>
              <w:rFonts w:hint="eastAsia" w:ascii="Times New Roman" w:hAnsi="Times New Roman" w:eastAsia="黑体" w:cs="Times New Roman"/>
            </w:rPr>
            <w:t xml:space="preserve">第一节 </w:t>
          </w:r>
          <w:r>
            <w:rPr>
              <w:rFonts w:hint="eastAsia" w:ascii="Times New Roman" w:hAnsi="Times New Roman" w:cs="Times New Roman"/>
            </w:rPr>
            <w:t>保护优质高效的农业发展空间</w:t>
          </w:r>
          <w:r>
            <w:tab/>
          </w:r>
          <w:r>
            <w:fldChar w:fldCharType="begin"/>
          </w:r>
          <w:r>
            <w:instrText xml:space="preserve"> PAGEREF _Toc14103 \h </w:instrText>
          </w:r>
          <w:r>
            <w:fldChar w:fldCharType="separate"/>
          </w:r>
          <w:r>
            <w:t>20</w:t>
          </w:r>
          <w:r>
            <w:fldChar w:fldCharType="end"/>
          </w:r>
          <w:r>
            <w:rPr>
              <w:rFonts w:hint="eastAsia"/>
            </w:rPr>
            <w:fldChar w:fldCharType="end"/>
          </w:r>
        </w:p>
        <w:p w14:paraId="0969A3F7">
          <w:pPr>
            <w:pStyle w:val="14"/>
            <w:tabs>
              <w:tab w:val="right" w:leader="dot" w:pos="8306"/>
            </w:tabs>
          </w:pPr>
          <w:r>
            <w:rPr>
              <w:rFonts w:hint="eastAsia"/>
            </w:rPr>
            <w:fldChar w:fldCharType="begin"/>
          </w:r>
          <w:r>
            <w:rPr>
              <w:rFonts w:hint="eastAsia"/>
            </w:rPr>
            <w:instrText xml:space="preserve"> HYPERLINK \l _Toc30828 </w:instrText>
          </w:r>
          <w:r>
            <w:rPr>
              <w:rFonts w:hint="eastAsia"/>
            </w:rPr>
            <w:fldChar w:fldCharType="separate"/>
          </w:r>
          <w:r>
            <w:rPr>
              <w:rFonts w:hint="eastAsia" w:ascii="Times New Roman" w:hAnsi="Times New Roman" w:eastAsia="黑体" w:cs="Times New Roman"/>
            </w:rPr>
            <w:t xml:space="preserve">第二节 </w:t>
          </w:r>
          <w:r>
            <w:rPr>
              <w:rFonts w:hint="eastAsia" w:ascii="Times New Roman" w:hAnsi="Times New Roman" w:cs="Times New Roman"/>
            </w:rPr>
            <w:t>建设绿色安全的生态空间</w:t>
          </w:r>
          <w:r>
            <w:tab/>
          </w:r>
          <w:r>
            <w:fldChar w:fldCharType="begin"/>
          </w:r>
          <w:r>
            <w:instrText xml:space="preserve"> PAGEREF _Toc30828 \h </w:instrText>
          </w:r>
          <w:r>
            <w:fldChar w:fldCharType="separate"/>
          </w:r>
          <w:r>
            <w:t>22</w:t>
          </w:r>
          <w:r>
            <w:fldChar w:fldCharType="end"/>
          </w:r>
          <w:r>
            <w:rPr>
              <w:rFonts w:hint="eastAsia"/>
            </w:rPr>
            <w:fldChar w:fldCharType="end"/>
          </w:r>
        </w:p>
        <w:p w14:paraId="189A5B8D">
          <w:pPr>
            <w:pStyle w:val="14"/>
            <w:tabs>
              <w:tab w:val="right" w:leader="dot" w:pos="8306"/>
            </w:tabs>
          </w:pPr>
          <w:r>
            <w:rPr>
              <w:rFonts w:hint="eastAsia"/>
            </w:rPr>
            <w:fldChar w:fldCharType="begin"/>
          </w:r>
          <w:r>
            <w:rPr>
              <w:rFonts w:hint="eastAsia"/>
            </w:rPr>
            <w:instrText xml:space="preserve"> HYPERLINK \l _Toc15939 </w:instrText>
          </w:r>
          <w:r>
            <w:rPr>
              <w:rFonts w:hint="eastAsia"/>
            </w:rPr>
            <w:fldChar w:fldCharType="separate"/>
          </w:r>
          <w:r>
            <w:rPr>
              <w:rFonts w:hint="eastAsia" w:ascii="Times New Roman" w:hAnsi="Times New Roman" w:eastAsia="黑体" w:cs="Times New Roman"/>
            </w:rPr>
            <w:t xml:space="preserve">第三节 </w:t>
          </w:r>
          <w:r>
            <w:rPr>
              <w:rFonts w:hint="eastAsia" w:ascii="Times New Roman" w:hAnsi="Times New Roman" w:cs="Times New Roman"/>
            </w:rPr>
            <w:t>城乡建设空间</w:t>
          </w:r>
          <w:r>
            <w:tab/>
          </w:r>
          <w:r>
            <w:fldChar w:fldCharType="begin"/>
          </w:r>
          <w:r>
            <w:instrText xml:space="preserve"> PAGEREF _Toc15939 \h </w:instrText>
          </w:r>
          <w:r>
            <w:fldChar w:fldCharType="separate"/>
          </w:r>
          <w:r>
            <w:t>24</w:t>
          </w:r>
          <w:r>
            <w:fldChar w:fldCharType="end"/>
          </w:r>
          <w:r>
            <w:rPr>
              <w:rFonts w:hint="eastAsia"/>
            </w:rPr>
            <w:fldChar w:fldCharType="end"/>
          </w:r>
        </w:p>
        <w:p w14:paraId="554284EC">
          <w:pPr>
            <w:pStyle w:val="13"/>
            <w:tabs>
              <w:tab w:val="right" w:leader="dot" w:pos="8306"/>
            </w:tabs>
          </w:pPr>
          <w:r>
            <w:rPr>
              <w:rFonts w:hint="eastAsia"/>
            </w:rPr>
            <w:fldChar w:fldCharType="begin"/>
          </w:r>
          <w:r>
            <w:rPr>
              <w:rFonts w:hint="eastAsia"/>
            </w:rPr>
            <w:instrText xml:space="preserve"> HYPERLINK \l _Toc29478 </w:instrText>
          </w:r>
          <w:r>
            <w:rPr>
              <w:rFonts w:hint="eastAsia"/>
            </w:rPr>
            <w:fldChar w:fldCharType="separate"/>
          </w:r>
          <w:r>
            <w:rPr>
              <w:rFonts w:hint="eastAsia" w:ascii="方正小标宋简体" w:hAnsi="方正小标宋简体" w:eastAsia="方正小标宋简体" w:cs="方正小标宋简体"/>
              <w:bCs w:val="0"/>
              <w:szCs w:val="36"/>
            </w:rPr>
            <w:t xml:space="preserve">第六章 </w:t>
          </w:r>
          <w:r>
            <w:rPr>
              <w:rFonts w:hint="eastAsia" w:ascii="Times New Roman" w:hAnsi="Times New Roman" w:eastAsia="方正小标宋简体" w:cs="方正小标宋简体"/>
              <w:bCs w:val="0"/>
              <w:szCs w:val="36"/>
            </w:rPr>
            <w:t>上集镇政府驻地规划</w:t>
          </w:r>
          <w:r>
            <w:tab/>
          </w:r>
          <w:r>
            <w:fldChar w:fldCharType="begin"/>
          </w:r>
          <w:r>
            <w:instrText xml:space="preserve"> PAGEREF _Toc29478 \h </w:instrText>
          </w:r>
          <w:r>
            <w:fldChar w:fldCharType="separate"/>
          </w:r>
          <w:r>
            <w:t>26</w:t>
          </w:r>
          <w:r>
            <w:fldChar w:fldCharType="end"/>
          </w:r>
          <w:r>
            <w:rPr>
              <w:rFonts w:hint="eastAsia"/>
            </w:rPr>
            <w:fldChar w:fldCharType="end"/>
          </w:r>
        </w:p>
        <w:p w14:paraId="35FE2FC8">
          <w:pPr>
            <w:pStyle w:val="14"/>
            <w:tabs>
              <w:tab w:val="right" w:leader="dot" w:pos="8306"/>
            </w:tabs>
          </w:pPr>
          <w:r>
            <w:rPr>
              <w:rFonts w:hint="eastAsia"/>
            </w:rPr>
            <w:fldChar w:fldCharType="begin"/>
          </w:r>
          <w:r>
            <w:rPr>
              <w:rFonts w:hint="eastAsia"/>
            </w:rPr>
            <w:instrText xml:space="preserve"> HYPERLINK \l _Toc5497 </w:instrText>
          </w:r>
          <w:r>
            <w:rPr>
              <w:rFonts w:hint="eastAsia"/>
            </w:rPr>
            <w:fldChar w:fldCharType="separate"/>
          </w:r>
          <w:r>
            <w:rPr>
              <w:rFonts w:hint="eastAsia" w:ascii="Times New Roman" w:hAnsi="Times New Roman" w:eastAsia="黑体" w:cs="Times New Roman"/>
            </w:rPr>
            <w:t xml:space="preserve">第一节 </w:t>
          </w:r>
          <w:r>
            <w:rPr>
              <w:rFonts w:hint="eastAsia" w:ascii="Times New Roman" w:hAnsi="Times New Roman" w:cs="Times New Roman"/>
            </w:rPr>
            <w:t>发展方向与规模</w:t>
          </w:r>
          <w:r>
            <w:tab/>
          </w:r>
          <w:r>
            <w:fldChar w:fldCharType="begin"/>
          </w:r>
          <w:r>
            <w:instrText xml:space="preserve"> PAGEREF _Toc5497 \h </w:instrText>
          </w:r>
          <w:r>
            <w:fldChar w:fldCharType="separate"/>
          </w:r>
          <w:r>
            <w:t>26</w:t>
          </w:r>
          <w:r>
            <w:fldChar w:fldCharType="end"/>
          </w:r>
          <w:r>
            <w:rPr>
              <w:rFonts w:hint="eastAsia"/>
            </w:rPr>
            <w:fldChar w:fldCharType="end"/>
          </w:r>
        </w:p>
        <w:p w14:paraId="454A4AB9">
          <w:pPr>
            <w:pStyle w:val="14"/>
            <w:tabs>
              <w:tab w:val="right" w:leader="dot" w:pos="8306"/>
            </w:tabs>
          </w:pPr>
          <w:r>
            <w:rPr>
              <w:rFonts w:hint="eastAsia"/>
            </w:rPr>
            <w:fldChar w:fldCharType="begin"/>
          </w:r>
          <w:r>
            <w:rPr>
              <w:rFonts w:hint="eastAsia"/>
            </w:rPr>
            <w:instrText xml:space="preserve"> HYPERLINK \l _Toc12033 </w:instrText>
          </w:r>
          <w:r>
            <w:rPr>
              <w:rFonts w:hint="eastAsia"/>
            </w:rPr>
            <w:fldChar w:fldCharType="separate"/>
          </w:r>
          <w:r>
            <w:rPr>
              <w:rFonts w:hint="eastAsia" w:ascii="Times New Roman" w:hAnsi="Times New Roman" w:eastAsia="黑体" w:cs="Times New Roman"/>
            </w:rPr>
            <w:t xml:space="preserve">第二节 </w:t>
          </w:r>
          <w:r>
            <w:rPr>
              <w:rFonts w:hint="eastAsia" w:ascii="Times New Roman" w:hAnsi="Times New Roman" w:cs="Times New Roman"/>
            </w:rPr>
            <w:t>功能结构与空间布局</w:t>
          </w:r>
          <w:r>
            <w:tab/>
          </w:r>
          <w:r>
            <w:fldChar w:fldCharType="begin"/>
          </w:r>
          <w:r>
            <w:instrText xml:space="preserve"> PAGEREF _Toc12033 \h </w:instrText>
          </w:r>
          <w:r>
            <w:fldChar w:fldCharType="separate"/>
          </w:r>
          <w:r>
            <w:t>26</w:t>
          </w:r>
          <w:r>
            <w:fldChar w:fldCharType="end"/>
          </w:r>
          <w:r>
            <w:rPr>
              <w:rFonts w:hint="eastAsia"/>
            </w:rPr>
            <w:fldChar w:fldCharType="end"/>
          </w:r>
        </w:p>
        <w:p w14:paraId="5CBFFEF6">
          <w:pPr>
            <w:pStyle w:val="14"/>
            <w:tabs>
              <w:tab w:val="right" w:leader="dot" w:pos="8306"/>
            </w:tabs>
          </w:pPr>
          <w:r>
            <w:rPr>
              <w:rFonts w:hint="eastAsia"/>
            </w:rPr>
            <w:fldChar w:fldCharType="begin"/>
          </w:r>
          <w:r>
            <w:rPr>
              <w:rFonts w:hint="eastAsia"/>
            </w:rPr>
            <w:instrText xml:space="preserve"> HYPERLINK \l _Toc22162 </w:instrText>
          </w:r>
          <w:r>
            <w:rPr>
              <w:rFonts w:hint="eastAsia"/>
            </w:rPr>
            <w:fldChar w:fldCharType="separate"/>
          </w:r>
          <w:r>
            <w:rPr>
              <w:rFonts w:hint="eastAsia" w:ascii="Times New Roman" w:hAnsi="Times New Roman" w:eastAsia="黑体" w:cs="Times New Roman"/>
            </w:rPr>
            <w:t xml:space="preserve">第三节 </w:t>
          </w:r>
          <w:r>
            <w:rPr>
              <w:rFonts w:hint="eastAsia" w:ascii="Times New Roman" w:hAnsi="Times New Roman" w:cs="Times New Roman"/>
            </w:rPr>
            <w:t>居住空间布局</w:t>
          </w:r>
          <w:r>
            <w:tab/>
          </w:r>
          <w:r>
            <w:fldChar w:fldCharType="begin"/>
          </w:r>
          <w:r>
            <w:instrText xml:space="preserve"> PAGEREF _Toc22162 \h </w:instrText>
          </w:r>
          <w:r>
            <w:fldChar w:fldCharType="separate"/>
          </w:r>
          <w:r>
            <w:t>27</w:t>
          </w:r>
          <w:r>
            <w:fldChar w:fldCharType="end"/>
          </w:r>
          <w:r>
            <w:rPr>
              <w:rFonts w:hint="eastAsia"/>
            </w:rPr>
            <w:fldChar w:fldCharType="end"/>
          </w:r>
        </w:p>
        <w:p w14:paraId="72EF752B">
          <w:pPr>
            <w:pStyle w:val="14"/>
            <w:tabs>
              <w:tab w:val="right" w:leader="dot" w:pos="8306"/>
            </w:tabs>
          </w:pPr>
          <w:r>
            <w:rPr>
              <w:rFonts w:hint="eastAsia"/>
            </w:rPr>
            <w:fldChar w:fldCharType="begin"/>
          </w:r>
          <w:r>
            <w:rPr>
              <w:rFonts w:hint="eastAsia"/>
            </w:rPr>
            <w:instrText xml:space="preserve"> HYPERLINK \l _Toc25167 </w:instrText>
          </w:r>
          <w:r>
            <w:rPr>
              <w:rFonts w:hint="eastAsia"/>
            </w:rPr>
            <w:fldChar w:fldCharType="separate"/>
          </w:r>
          <w:r>
            <w:rPr>
              <w:rFonts w:hint="eastAsia" w:ascii="Times New Roman" w:hAnsi="Times New Roman" w:eastAsia="黑体" w:cs="Times New Roman"/>
            </w:rPr>
            <w:t xml:space="preserve">第四节 </w:t>
          </w:r>
          <w:r>
            <w:rPr>
              <w:rFonts w:hint="eastAsia" w:ascii="Times New Roman" w:hAnsi="Times New Roman" w:cs="Times New Roman"/>
            </w:rPr>
            <w:t>绿地与开敞空间</w:t>
          </w:r>
          <w:r>
            <w:tab/>
          </w:r>
          <w:r>
            <w:fldChar w:fldCharType="begin"/>
          </w:r>
          <w:r>
            <w:instrText xml:space="preserve"> PAGEREF _Toc25167 \h </w:instrText>
          </w:r>
          <w:r>
            <w:fldChar w:fldCharType="separate"/>
          </w:r>
          <w:r>
            <w:t>27</w:t>
          </w:r>
          <w:r>
            <w:fldChar w:fldCharType="end"/>
          </w:r>
          <w:r>
            <w:rPr>
              <w:rFonts w:hint="eastAsia"/>
            </w:rPr>
            <w:fldChar w:fldCharType="end"/>
          </w:r>
        </w:p>
        <w:p w14:paraId="5ACD9A98">
          <w:pPr>
            <w:pStyle w:val="14"/>
            <w:tabs>
              <w:tab w:val="right" w:leader="dot" w:pos="8306"/>
            </w:tabs>
          </w:pPr>
          <w:r>
            <w:rPr>
              <w:rFonts w:hint="eastAsia"/>
            </w:rPr>
            <w:fldChar w:fldCharType="begin"/>
          </w:r>
          <w:r>
            <w:rPr>
              <w:rFonts w:hint="eastAsia"/>
            </w:rPr>
            <w:instrText xml:space="preserve"> HYPERLINK \l _Toc23292 </w:instrText>
          </w:r>
          <w:r>
            <w:rPr>
              <w:rFonts w:hint="eastAsia"/>
            </w:rPr>
            <w:fldChar w:fldCharType="separate"/>
          </w:r>
          <w:r>
            <w:rPr>
              <w:rFonts w:hint="eastAsia" w:ascii="Times New Roman" w:hAnsi="Times New Roman" w:eastAsia="黑体" w:cs="Times New Roman"/>
            </w:rPr>
            <w:t xml:space="preserve">第五节 </w:t>
          </w:r>
          <w:r>
            <w:rPr>
              <w:rFonts w:hint="eastAsia" w:ascii="Times New Roman" w:hAnsi="Times New Roman" w:cs="Times New Roman"/>
            </w:rPr>
            <w:t>完善道路与交通设施</w:t>
          </w:r>
          <w:r>
            <w:tab/>
          </w:r>
          <w:r>
            <w:fldChar w:fldCharType="begin"/>
          </w:r>
          <w:r>
            <w:instrText xml:space="preserve"> PAGEREF _Toc23292 \h </w:instrText>
          </w:r>
          <w:r>
            <w:fldChar w:fldCharType="separate"/>
          </w:r>
          <w:r>
            <w:t>28</w:t>
          </w:r>
          <w:r>
            <w:fldChar w:fldCharType="end"/>
          </w:r>
          <w:r>
            <w:rPr>
              <w:rFonts w:hint="eastAsia"/>
            </w:rPr>
            <w:fldChar w:fldCharType="end"/>
          </w:r>
        </w:p>
        <w:p w14:paraId="5C527705">
          <w:pPr>
            <w:pStyle w:val="14"/>
            <w:tabs>
              <w:tab w:val="right" w:leader="dot" w:pos="8306"/>
            </w:tabs>
          </w:pPr>
          <w:r>
            <w:rPr>
              <w:rFonts w:hint="eastAsia"/>
            </w:rPr>
            <w:fldChar w:fldCharType="begin"/>
          </w:r>
          <w:r>
            <w:rPr>
              <w:rFonts w:hint="eastAsia"/>
            </w:rPr>
            <w:instrText xml:space="preserve"> HYPERLINK \l _Toc29627 </w:instrText>
          </w:r>
          <w:r>
            <w:rPr>
              <w:rFonts w:hint="eastAsia"/>
            </w:rPr>
            <w:fldChar w:fldCharType="separate"/>
          </w:r>
          <w:r>
            <w:rPr>
              <w:rFonts w:hint="eastAsia" w:ascii="Times New Roman" w:hAnsi="Times New Roman" w:eastAsia="黑体" w:cs="Times New Roman"/>
            </w:rPr>
            <w:t xml:space="preserve">第六节 </w:t>
          </w:r>
          <w:r>
            <w:rPr>
              <w:rFonts w:hint="eastAsia" w:ascii="Times New Roman" w:hAnsi="Times New Roman" w:cs="Times New Roman"/>
            </w:rPr>
            <w:t>提升公共服务水平</w:t>
          </w:r>
          <w:r>
            <w:tab/>
          </w:r>
          <w:r>
            <w:fldChar w:fldCharType="begin"/>
          </w:r>
          <w:r>
            <w:instrText xml:space="preserve"> PAGEREF _Toc29627 \h </w:instrText>
          </w:r>
          <w:r>
            <w:fldChar w:fldCharType="separate"/>
          </w:r>
          <w:r>
            <w:t>29</w:t>
          </w:r>
          <w:r>
            <w:fldChar w:fldCharType="end"/>
          </w:r>
          <w:r>
            <w:rPr>
              <w:rFonts w:hint="eastAsia"/>
            </w:rPr>
            <w:fldChar w:fldCharType="end"/>
          </w:r>
        </w:p>
        <w:p w14:paraId="5FCD4B18">
          <w:pPr>
            <w:pStyle w:val="13"/>
            <w:tabs>
              <w:tab w:val="right" w:leader="dot" w:pos="8306"/>
            </w:tabs>
          </w:pPr>
          <w:r>
            <w:rPr>
              <w:rFonts w:hint="eastAsia"/>
            </w:rPr>
            <w:fldChar w:fldCharType="begin"/>
          </w:r>
          <w:r>
            <w:rPr>
              <w:rFonts w:hint="eastAsia"/>
            </w:rPr>
            <w:instrText xml:space="preserve"> HYPERLINK \l _Toc24023 </w:instrText>
          </w:r>
          <w:r>
            <w:rPr>
              <w:rFonts w:hint="eastAsia"/>
            </w:rPr>
            <w:fldChar w:fldCharType="separate"/>
          </w:r>
          <w:r>
            <w:rPr>
              <w:rFonts w:hint="eastAsia" w:ascii="方正小标宋简体" w:hAnsi="方正小标宋简体" w:eastAsia="方正小标宋简体" w:cs="方正小标宋简体"/>
              <w:bCs w:val="0"/>
              <w:szCs w:val="36"/>
            </w:rPr>
            <w:t xml:space="preserve">第七章 </w:t>
          </w:r>
          <w:r>
            <w:rPr>
              <w:rFonts w:hint="eastAsia" w:ascii="Times New Roman" w:hAnsi="Times New Roman" w:eastAsia="方正小标宋简体" w:cs="方正小标宋简体"/>
              <w:bCs w:val="0"/>
              <w:szCs w:val="36"/>
              <w:lang w:val="en-US" w:eastAsia="zh-CN"/>
            </w:rPr>
            <w:t>基础</w:t>
          </w:r>
          <w:r>
            <w:rPr>
              <w:rFonts w:hint="eastAsia" w:ascii="Times New Roman" w:hAnsi="Times New Roman" w:eastAsia="方正小标宋简体" w:cs="方正小标宋简体"/>
              <w:bCs w:val="0"/>
              <w:szCs w:val="36"/>
            </w:rPr>
            <w:t>保障体系</w:t>
          </w:r>
          <w:r>
            <w:tab/>
          </w:r>
          <w:r>
            <w:fldChar w:fldCharType="begin"/>
          </w:r>
          <w:r>
            <w:instrText xml:space="preserve"> PAGEREF _Toc24023 \h </w:instrText>
          </w:r>
          <w:r>
            <w:fldChar w:fldCharType="separate"/>
          </w:r>
          <w:r>
            <w:t>30</w:t>
          </w:r>
          <w:r>
            <w:fldChar w:fldCharType="end"/>
          </w:r>
          <w:r>
            <w:rPr>
              <w:rFonts w:hint="eastAsia"/>
            </w:rPr>
            <w:fldChar w:fldCharType="end"/>
          </w:r>
        </w:p>
        <w:p w14:paraId="4AC3617A">
          <w:pPr>
            <w:pStyle w:val="14"/>
            <w:tabs>
              <w:tab w:val="right" w:leader="dot" w:pos="8306"/>
            </w:tabs>
          </w:pPr>
          <w:r>
            <w:rPr>
              <w:rFonts w:hint="eastAsia"/>
            </w:rPr>
            <w:fldChar w:fldCharType="begin"/>
          </w:r>
          <w:r>
            <w:rPr>
              <w:rFonts w:hint="eastAsia"/>
            </w:rPr>
            <w:instrText xml:space="preserve"> HYPERLINK \l _Toc3175 </w:instrText>
          </w:r>
          <w:r>
            <w:rPr>
              <w:rFonts w:hint="eastAsia"/>
            </w:rPr>
            <w:fldChar w:fldCharType="separate"/>
          </w:r>
          <w:r>
            <w:rPr>
              <w:rFonts w:hint="eastAsia" w:ascii="Times New Roman" w:hAnsi="Times New Roman" w:eastAsia="黑体" w:cs="Times New Roman"/>
            </w:rPr>
            <w:t xml:space="preserve">第一节 </w:t>
          </w:r>
          <w:r>
            <w:rPr>
              <w:rFonts w:hint="eastAsia" w:ascii="Times New Roman" w:hAnsi="Times New Roman" w:cs="Times New Roman"/>
            </w:rPr>
            <w:t>综合交通体系</w:t>
          </w:r>
          <w:r>
            <w:tab/>
          </w:r>
          <w:r>
            <w:fldChar w:fldCharType="begin"/>
          </w:r>
          <w:r>
            <w:instrText xml:space="preserve"> PAGEREF _Toc3175 \h </w:instrText>
          </w:r>
          <w:r>
            <w:fldChar w:fldCharType="separate"/>
          </w:r>
          <w:r>
            <w:t>30</w:t>
          </w:r>
          <w:r>
            <w:fldChar w:fldCharType="end"/>
          </w:r>
          <w:r>
            <w:rPr>
              <w:rFonts w:hint="eastAsia"/>
            </w:rPr>
            <w:fldChar w:fldCharType="end"/>
          </w:r>
        </w:p>
        <w:p w14:paraId="285D61F1">
          <w:pPr>
            <w:pStyle w:val="14"/>
            <w:tabs>
              <w:tab w:val="right" w:leader="dot" w:pos="8306"/>
            </w:tabs>
          </w:pPr>
          <w:r>
            <w:rPr>
              <w:rFonts w:hint="eastAsia"/>
            </w:rPr>
            <w:fldChar w:fldCharType="begin"/>
          </w:r>
          <w:r>
            <w:rPr>
              <w:rFonts w:hint="eastAsia"/>
            </w:rPr>
            <w:instrText xml:space="preserve"> HYPERLINK \l _Toc23613 </w:instrText>
          </w:r>
          <w:r>
            <w:rPr>
              <w:rFonts w:hint="eastAsia"/>
            </w:rPr>
            <w:fldChar w:fldCharType="separate"/>
          </w:r>
          <w:r>
            <w:rPr>
              <w:rFonts w:hint="eastAsia" w:ascii="Times New Roman" w:hAnsi="Times New Roman" w:eastAsia="黑体" w:cs="Times New Roman"/>
            </w:rPr>
            <w:t xml:space="preserve">第二节 </w:t>
          </w:r>
          <w:r>
            <w:rPr>
              <w:rFonts w:hint="eastAsia" w:ascii="Times New Roman" w:hAnsi="Times New Roman" w:cs="Times New Roman"/>
            </w:rPr>
            <w:t>公共服务体系</w:t>
          </w:r>
          <w:r>
            <w:tab/>
          </w:r>
          <w:r>
            <w:fldChar w:fldCharType="begin"/>
          </w:r>
          <w:r>
            <w:instrText xml:space="preserve"> PAGEREF _Toc23613 \h </w:instrText>
          </w:r>
          <w:r>
            <w:fldChar w:fldCharType="separate"/>
          </w:r>
          <w:r>
            <w:t>31</w:t>
          </w:r>
          <w:r>
            <w:fldChar w:fldCharType="end"/>
          </w:r>
          <w:r>
            <w:rPr>
              <w:rFonts w:hint="eastAsia"/>
            </w:rPr>
            <w:fldChar w:fldCharType="end"/>
          </w:r>
        </w:p>
        <w:p w14:paraId="0571ED91">
          <w:pPr>
            <w:pStyle w:val="13"/>
            <w:tabs>
              <w:tab w:val="right" w:leader="dot" w:pos="8306"/>
            </w:tabs>
          </w:pPr>
          <w:r>
            <w:rPr>
              <w:rFonts w:hint="eastAsia"/>
            </w:rPr>
            <w:fldChar w:fldCharType="begin"/>
          </w:r>
          <w:r>
            <w:rPr>
              <w:rFonts w:hint="eastAsia"/>
            </w:rPr>
            <w:instrText xml:space="preserve"> HYPERLINK \l _Toc13205 </w:instrText>
          </w:r>
          <w:r>
            <w:rPr>
              <w:rFonts w:hint="eastAsia"/>
            </w:rPr>
            <w:fldChar w:fldCharType="separate"/>
          </w:r>
          <w:r>
            <w:rPr>
              <w:rFonts w:hint="eastAsia" w:ascii="方正小标宋简体" w:hAnsi="方正小标宋简体" w:eastAsia="方正小标宋简体" w:cs="方正小标宋简体"/>
              <w:bCs w:val="0"/>
              <w:szCs w:val="36"/>
            </w:rPr>
            <w:t xml:space="preserve">第八章 </w:t>
          </w:r>
          <w:r>
            <w:rPr>
              <w:rFonts w:hint="eastAsia" w:ascii="Times New Roman" w:hAnsi="Times New Roman" w:eastAsia="方正小标宋简体" w:cs="方正小标宋简体"/>
              <w:bCs w:val="0"/>
              <w:szCs w:val="36"/>
              <w:highlight w:val="none"/>
            </w:rPr>
            <w:t>规划传导和实施</w:t>
          </w:r>
          <w:r>
            <w:tab/>
          </w:r>
          <w:r>
            <w:fldChar w:fldCharType="begin"/>
          </w:r>
          <w:r>
            <w:instrText xml:space="preserve"> PAGEREF _Toc13205 \h </w:instrText>
          </w:r>
          <w:r>
            <w:fldChar w:fldCharType="separate"/>
          </w:r>
          <w:r>
            <w:t>35</w:t>
          </w:r>
          <w:r>
            <w:fldChar w:fldCharType="end"/>
          </w:r>
          <w:r>
            <w:rPr>
              <w:rFonts w:hint="eastAsia"/>
            </w:rPr>
            <w:fldChar w:fldCharType="end"/>
          </w:r>
        </w:p>
        <w:p w14:paraId="715F6035">
          <w:pPr>
            <w:pStyle w:val="14"/>
            <w:tabs>
              <w:tab w:val="right" w:leader="dot" w:pos="8306"/>
            </w:tabs>
          </w:pPr>
          <w:r>
            <w:rPr>
              <w:rFonts w:hint="eastAsia"/>
            </w:rPr>
            <w:fldChar w:fldCharType="begin"/>
          </w:r>
          <w:r>
            <w:rPr>
              <w:rFonts w:hint="eastAsia"/>
            </w:rPr>
            <w:instrText xml:space="preserve"> HYPERLINK \l _Toc3249 </w:instrText>
          </w:r>
          <w:r>
            <w:rPr>
              <w:rFonts w:hint="eastAsia"/>
            </w:rPr>
            <w:fldChar w:fldCharType="separate"/>
          </w:r>
          <w:r>
            <w:rPr>
              <w:rFonts w:hint="eastAsia" w:ascii="Times New Roman" w:hAnsi="Times New Roman" w:eastAsia="黑体" w:cs="Times New Roman"/>
            </w:rPr>
            <w:t xml:space="preserve">第一节 </w:t>
          </w:r>
          <w:r>
            <w:rPr>
              <w:rFonts w:hint="eastAsia" w:ascii="Times New Roman" w:hAnsi="Times New Roman" w:cs="Times New Roman"/>
              <w:highlight w:val="none"/>
            </w:rPr>
            <w:t>规划传导与管控</w:t>
          </w:r>
          <w:r>
            <w:tab/>
          </w:r>
          <w:r>
            <w:fldChar w:fldCharType="begin"/>
          </w:r>
          <w:r>
            <w:instrText xml:space="preserve"> PAGEREF _Toc3249 \h </w:instrText>
          </w:r>
          <w:r>
            <w:fldChar w:fldCharType="separate"/>
          </w:r>
          <w:r>
            <w:t>35</w:t>
          </w:r>
          <w:r>
            <w:fldChar w:fldCharType="end"/>
          </w:r>
          <w:r>
            <w:rPr>
              <w:rFonts w:hint="eastAsia"/>
            </w:rPr>
            <w:fldChar w:fldCharType="end"/>
          </w:r>
        </w:p>
        <w:p w14:paraId="2CFF52F1">
          <w:pPr>
            <w:pStyle w:val="14"/>
            <w:tabs>
              <w:tab w:val="right" w:leader="dot" w:pos="8306"/>
            </w:tabs>
          </w:pPr>
          <w:r>
            <w:rPr>
              <w:rFonts w:hint="eastAsia"/>
            </w:rPr>
            <w:fldChar w:fldCharType="begin"/>
          </w:r>
          <w:r>
            <w:rPr>
              <w:rFonts w:hint="eastAsia"/>
            </w:rPr>
            <w:instrText xml:space="preserve"> HYPERLINK \l _Toc2272 </w:instrText>
          </w:r>
          <w:r>
            <w:rPr>
              <w:rFonts w:hint="eastAsia"/>
            </w:rPr>
            <w:fldChar w:fldCharType="separate"/>
          </w:r>
          <w:r>
            <w:rPr>
              <w:rFonts w:hint="eastAsia" w:ascii="Times New Roman" w:hAnsi="Times New Roman" w:eastAsia="黑体" w:cs="Times New Roman"/>
            </w:rPr>
            <w:t xml:space="preserve">第二节 </w:t>
          </w:r>
          <w:r>
            <w:rPr>
              <w:rFonts w:hint="eastAsia" w:ascii="Times New Roman" w:hAnsi="Times New Roman" w:cs="Times New Roman"/>
              <w:highlight w:val="none"/>
            </w:rPr>
            <w:t>规划实施</w:t>
          </w:r>
          <w:r>
            <w:tab/>
          </w:r>
          <w:r>
            <w:fldChar w:fldCharType="begin"/>
          </w:r>
          <w:r>
            <w:instrText xml:space="preserve"> PAGEREF _Toc2272 \h </w:instrText>
          </w:r>
          <w:r>
            <w:fldChar w:fldCharType="separate"/>
          </w:r>
          <w:r>
            <w:t>35</w:t>
          </w:r>
          <w:r>
            <w:fldChar w:fldCharType="end"/>
          </w:r>
          <w:r>
            <w:rPr>
              <w:rFonts w:hint="eastAsia"/>
            </w:rPr>
            <w:fldChar w:fldCharType="end"/>
          </w:r>
        </w:p>
        <w:p w14:paraId="1A4A4C0E">
          <w:pPr>
            <w:pStyle w:val="14"/>
            <w:tabs>
              <w:tab w:val="right" w:leader="dot" w:pos="8306"/>
            </w:tabs>
          </w:pPr>
          <w:r>
            <w:rPr>
              <w:rFonts w:hint="eastAsia"/>
            </w:rPr>
            <w:fldChar w:fldCharType="begin"/>
          </w:r>
          <w:r>
            <w:rPr>
              <w:rFonts w:hint="eastAsia"/>
            </w:rPr>
            <w:instrText xml:space="preserve"> HYPERLINK \l _Toc20221 </w:instrText>
          </w:r>
          <w:r>
            <w:rPr>
              <w:rFonts w:hint="eastAsia"/>
            </w:rPr>
            <w:fldChar w:fldCharType="separate"/>
          </w:r>
          <w:r>
            <w:rPr>
              <w:rFonts w:hint="eastAsia" w:ascii="Times New Roman" w:hAnsi="Times New Roman" w:eastAsia="黑体" w:cs="Times New Roman"/>
            </w:rPr>
            <w:t xml:space="preserve">第三节 </w:t>
          </w:r>
          <w:r>
            <w:rPr>
              <w:rFonts w:hint="eastAsia" w:ascii="Times New Roman" w:hAnsi="Times New Roman" w:cs="Times New Roman"/>
              <w:highlight w:val="none"/>
            </w:rPr>
            <w:t>规划实施保障</w:t>
          </w:r>
          <w:r>
            <w:tab/>
          </w:r>
          <w:r>
            <w:fldChar w:fldCharType="begin"/>
          </w:r>
          <w:r>
            <w:instrText xml:space="preserve"> PAGEREF _Toc20221 \h </w:instrText>
          </w:r>
          <w:r>
            <w:fldChar w:fldCharType="separate"/>
          </w:r>
          <w:r>
            <w:t>36</w:t>
          </w:r>
          <w:r>
            <w:fldChar w:fldCharType="end"/>
          </w:r>
          <w:r>
            <w:rPr>
              <w:rFonts w:hint="eastAsia"/>
            </w:rPr>
            <w:fldChar w:fldCharType="end"/>
          </w:r>
        </w:p>
        <w:p w14:paraId="67D826DC">
          <w:pPr>
            <w:tabs>
              <w:tab w:val="left" w:pos="2086"/>
            </w:tabs>
            <w:ind w:firstLine="0" w:firstLineChars="0"/>
            <w:jc w:val="left"/>
            <w:rPr>
              <w:rFonts w:hint="eastAsia"/>
              <w:b/>
            </w:rPr>
          </w:pPr>
          <w:r>
            <w:rPr>
              <w:rFonts w:hint="eastAsia"/>
            </w:rPr>
            <w:fldChar w:fldCharType="end"/>
          </w:r>
        </w:p>
      </w:sdtContent>
    </w:sdt>
    <w:p w14:paraId="786F4C6A">
      <w:pPr>
        <w:tabs>
          <w:tab w:val="left" w:pos="2086"/>
        </w:tabs>
        <w:ind w:firstLine="0" w:firstLineChars="0"/>
        <w:jc w:val="left"/>
        <w:rPr>
          <w:rFonts w:hint="eastAsia"/>
          <w:b/>
        </w:rPr>
        <w:sectPr>
          <w:footerReference r:id="rId11" w:type="default"/>
          <w:pgSz w:w="11906" w:h="16838"/>
          <w:pgMar w:top="1440" w:right="1800" w:bottom="1440" w:left="1800" w:header="851" w:footer="992" w:gutter="0"/>
          <w:pgNumType w:start="1"/>
          <w:cols w:space="720" w:num="1"/>
          <w:docGrid w:type="lines" w:linePitch="312" w:charSpace="0"/>
        </w:sectPr>
      </w:pPr>
    </w:p>
    <w:p w14:paraId="1F998D68">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rPr>
      </w:pPr>
      <w:bookmarkStart w:id="3" w:name="_Toc15842"/>
      <w:bookmarkStart w:id="4" w:name="_Toc20978"/>
      <w:bookmarkStart w:id="5" w:name="_Toc17050"/>
      <w:bookmarkStart w:id="6" w:name="_Toc15805"/>
      <w:bookmarkStart w:id="7" w:name="_Toc4072"/>
      <w:r>
        <w:rPr>
          <w:rFonts w:hint="eastAsia" w:ascii="Times New Roman" w:hAnsi="Times New Roman" w:eastAsia="方正小标宋简体" w:cs="方正小标宋简体"/>
          <w:b w:val="0"/>
          <w:bCs w:val="0"/>
          <w:sz w:val="36"/>
          <w:szCs w:val="36"/>
        </w:rPr>
        <w:t>总则</w:t>
      </w:r>
      <w:bookmarkEnd w:id="3"/>
      <w:bookmarkEnd w:id="4"/>
      <w:bookmarkEnd w:id="5"/>
      <w:bookmarkEnd w:id="6"/>
      <w:bookmarkEnd w:id="7"/>
    </w:p>
    <w:p w14:paraId="53703E96">
      <w:pPr>
        <w:keepNext/>
        <w:keepLines/>
        <w:numPr>
          <w:ilvl w:val="2"/>
          <w:numId w:val="2"/>
        </w:numPr>
        <w:spacing w:line="600" w:lineRule="exact"/>
        <w:ind w:firstLineChars="0"/>
        <w:jc w:val="left"/>
        <w:outlineLvl w:val="1"/>
        <w:rPr>
          <w:rFonts w:ascii="Times New Roman" w:hAnsi="Times New Roman" w:eastAsia="楷体" w:cs="Times New Roman"/>
          <w:sz w:val="32"/>
          <w:szCs w:val="24"/>
        </w:rPr>
      </w:pPr>
      <w:bookmarkStart w:id="8" w:name="_Toc17816"/>
      <w:bookmarkStart w:id="9" w:name="_Toc32631"/>
      <w:bookmarkStart w:id="10" w:name="_Toc27341"/>
      <w:r>
        <w:rPr>
          <w:rFonts w:hint="eastAsia" w:ascii="Times New Roman" w:hAnsi="Times New Roman" w:eastAsia="楷体" w:cs="Times New Roman"/>
          <w:sz w:val="32"/>
          <w:szCs w:val="24"/>
        </w:rPr>
        <w:t xml:space="preserve"> </w:t>
      </w:r>
      <w:bookmarkStart w:id="11" w:name="_Toc16743"/>
      <w:bookmarkStart w:id="12" w:name="_Toc22471"/>
      <w:bookmarkStart w:id="13" w:name="_Toc15821"/>
      <w:r>
        <w:rPr>
          <w:rFonts w:hint="eastAsia" w:ascii="Times New Roman" w:hAnsi="Times New Roman" w:eastAsia="楷体" w:cs="Times New Roman"/>
          <w:sz w:val="32"/>
          <w:szCs w:val="24"/>
        </w:rPr>
        <w:t>规划目的</w:t>
      </w:r>
      <w:bookmarkEnd w:id="8"/>
      <w:bookmarkEnd w:id="9"/>
      <w:bookmarkEnd w:id="10"/>
      <w:bookmarkEnd w:id="11"/>
      <w:bookmarkEnd w:id="12"/>
      <w:bookmarkEnd w:id="13"/>
    </w:p>
    <w:p w14:paraId="091B6EBC">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为贯彻落实《中共中央国务院关于建立国土空间规划体系并监督实施的若干意见》（中发〔2019〕18号）、《自然资源部关于全面开展国土空间规划工作的通知》（自然资发〔2019〕87号）、《中共黑龙江省委黑龙江省人民政府关于建立全省国土空间规划体系并监督实施的意见》等文件精神，落实黑龙江省推进“六个龙江”、“八个振兴”战略部署和绥化市委市政府、绥棱县委县政府加快推进国土空间规划体系建设的工作要求，</w:t>
      </w:r>
      <w:r>
        <w:rPr>
          <w:rFonts w:ascii="Times New Roman" w:hAnsi="Times New Roman" w:eastAsia="仿宋GB2312"/>
          <w:color w:val="000000"/>
          <w:kern w:val="0"/>
          <w:sz w:val="32"/>
          <w:szCs w:val="32"/>
          <w:lang w:bidi="ar"/>
        </w:rPr>
        <w:t>细化落实</w:t>
      </w:r>
      <w:r>
        <w:rPr>
          <w:rFonts w:hint="eastAsia" w:ascii="Times New Roman" w:hAnsi="Times New Roman" w:eastAsia="仿宋GB2312"/>
          <w:color w:val="000000"/>
          <w:kern w:val="0"/>
          <w:sz w:val="32"/>
          <w:szCs w:val="32"/>
          <w:lang w:bidi="ar"/>
        </w:rPr>
        <w:t>绥化市</w:t>
      </w:r>
      <w:r>
        <w:rPr>
          <w:rFonts w:ascii="Times New Roman" w:hAnsi="Times New Roman" w:eastAsia="仿宋GB2312"/>
          <w:color w:val="000000"/>
          <w:kern w:val="0"/>
          <w:sz w:val="32"/>
          <w:szCs w:val="32"/>
          <w:lang w:bidi="ar"/>
        </w:rPr>
        <w:t>、</w:t>
      </w:r>
      <w:r>
        <w:rPr>
          <w:rFonts w:hint="eastAsia" w:ascii="Times New Roman" w:hAnsi="Times New Roman" w:eastAsia="仿宋GB2312"/>
          <w:color w:val="000000"/>
          <w:kern w:val="0"/>
          <w:sz w:val="32"/>
          <w:szCs w:val="32"/>
          <w:lang w:bidi="ar"/>
        </w:rPr>
        <w:t>绥棱县</w:t>
      </w:r>
      <w:r>
        <w:rPr>
          <w:rFonts w:ascii="Times New Roman" w:hAnsi="Times New Roman" w:eastAsia="仿宋GB2312"/>
          <w:color w:val="000000"/>
          <w:kern w:val="0"/>
          <w:sz w:val="32"/>
          <w:szCs w:val="32"/>
          <w:lang w:bidi="ar"/>
        </w:rPr>
        <w:t>国土空间总体规划要求</w:t>
      </w:r>
      <w:r>
        <w:rPr>
          <w:rFonts w:hint="eastAsia" w:ascii="Times New Roman" w:hAnsi="Times New Roman" w:eastAsia="仿宋GB2312"/>
          <w:color w:val="000000"/>
          <w:kern w:val="0"/>
          <w:sz w:val="32"/>
          <w:szCs w:val="32"/>
          <w:lang w:bidi="ar"/>
        </w:rPr>
        <w:t>，编制本次规划以对绥棱县上集镇范围内国土空间开发保护做出总体安排和综合部署。</w:t>
      </w:r>
    </w:p>
    <w:p w14:paraId="1E877600">
      <w:pPr>
        <w:keepNext/>
        <w:keepLines/>
        <w:numPr>
          <w:ilvl w:val="2"/>
          <w:numId w:val="2"/>
        </w:numPr>
        <w:spacing w:line="600" w:lineRule="exact"/>
        <w:ind w:firstLineChars="0"/>
        <w:jc w:val="left"/>
        <w:outlineLvl w:val="1"/>
        <w:rPr>
          <w:rFonts w:ascii="Times New Roman" w:hAnsi="Times New Roman" w:eastAsia="楷体" w:cs="Times New Roman"/>
          <w:sz w:val="32"/>
          <w:szCs w:val="24"/>
        </w:rPr>
      </w:pPr>
      <w:bookmarkStart w:id="14" w:name="_Toc13515"/>
      <w:bookmarkStart w:id="15" w:name="_Toc1097"/>
      <w:bookmarkStart w:id="16" w:name="_Toc31560"/>
      <w:r>
        <w:rPr>
          <w:rFonts w:hint="eastAsia" w:ascii="Times New Roman" w:hAnsi="Times New Roman" w:eastAsia="楷体" w:cs="Times New Roman"/>
          <w:sz w:val="32"/>
          <w:szCs w:val="24"/>
        </w:rPr>
        <w:t xml:space="preserve"> </w:t>
      </w:r>
      <w:bookmarkStart w:id="17" w:name="_Toc32324"/>
      <w:bookmarkStart w:id="18" w:name="_Toc28434"/>
      <w:bookmarkStart w:id="19" w:name="_Toc19510"/>
      <w:r>
        <w:rPr>
          <w:rFonts w:hint="eastAsia" w:ascii="Times New Roman" w:hAnsi="Times New Roman" w:eastAsia="楷体" w:cs="Times New Roman"/>
          <w:sz w:val="32"/>
          <w:szCs w:val="24"/>
        </w:rPr>
        <w:t>指导思想</w:t>
      </w:r>
      <w:bookmarkEnd w:id="14"/>
      <w:bookmarkEnd w:id="15"/>
      <w:bookmarkEnd w:id="16"/>
      <w:bookmarkEnd w:id="17"/>
      <w:bookmarkEnd w:id="18"/>
      <w:bookmarkEnd w:id="19"/>
    </w:p>
    <w:p w14:paraId="277D222C">
      <w:pPr>
        <w:pStyle w:val="29"/>
        <w:spacing w:line="600" w:lineRule="exact"/>
        <w:ind w:firstLine="640" w:firstLineChars="200"/>
        <w:rPr>
          <w:rFonts w:ascii="Times New Roman" w:hAnsi="Times New Roman" w:eastAsia="仿宋_GB2312" w:cs="Times New Roman"/>
          <w:sz w:val="32"/>
          <w:szCs w:val="22"/>
        </w:rPr>
      </w:pPr>
      <w:r>
        <w:rPr>
          <w:rFonts w:hint="eastAsia" w:ascii="Times New Roman" w:hAnsi="Times New Roman" w:eastAsia="仿宋GB2312"/>
          <w:color w:val="000000"/>
          <w:kern w:val="0"/>
          <w:sz w:val="32"/>
          <w:szCs w:val="32"/>
          <w:lang w:bidi="ar"/>
        </w:rPr>
        <w:t>以习近平新时代中国特色社会主义思想为指导，全面贯彻党的十九大、二十大会议精神，以及习近平总书记系列重要讲话，统筹推进“五位一体”总体布局，协调推进“四个全面”战略布局，落实绥化市、绥棱县重大决策部署。立足新发展阶段，贯彻新发展理念，融入省、市、县新发展格局，统筹发展和安全、开发和保护，守护好自然生态安全底线，优化农业、生态、乡镇等功能空间，构建上集镇新时代国土空间开发保护新格局，不断提高发展质量，推进国土空间治理体系和治理能力现代化，为支撑上集镇发展提供坚实的空间保障。</w:t>
      </w:r>
    </w:p>
    <w:p w14:paraId="197D1749">
      <w:pPr>
        <w:keepNext/>
        <w:keepLines/>
        <w:numPr>
          <w:ilvl w:val="2"/>
          <w:numId w:val="2"/>
        </w:numPr>
        <w:spacing w:line="600" w:lineRule="exact"/>
        <w:ind w:firstLineChars="0"/>
        <w:jc w:val="left"/>
        <w:outlineLvl w:val="1"/>
        <w:rPr>
          <w:rFonts w:ascii="Times New Roman" w:hAnsi="Times New Roman" w:eastAsia="楷体" w:cs="Times New Roman"/>
          <w:sz w:val="32"/>
          <w:szCs w:val="24"/>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800" w:bottom="1440" w:left="1800" w:header="851" w:footer="992" w:gutter="0"/>
          <w:pgNumType w:start="1"/>
          <w:cols w:space="425" w:num="1"/>
          <w:docGrid w:type="lines" w:linePitch="312" w:charSpace="0"/>
        </w:sectPr>
      </w:pPr>
      <w:bookmarkStart w:id="20" w:name="_Toc26787"/>
      <w:bookmarkStart w:id="21" w:name="_Toc25191"/>
    </w:p>
    <w:bookmarkEnd w:id="20"/>
    <w:bookmarkEnd w:id="21"/>
    <w:p w14:paraId="69B05593">
      <w:pPr>
        <w:keepNext/>
        <w:keepLines/>
        <w:numPr>
          <w:ilvl w:val="2"/>
          <w:numId w:val="2"/>
        </w:numPr>
        <w:spacing w:line="600" w:lineRule="exact"/>
        <w:ind w:firstLineChars="0"/>
        <w:jc w:val="left"/>
        <w:outlineLvl w:val="1"/>
        <w:rPr>
          <w:rFonts w:ascii="Times New Roman" w:hAnsi="Times New Roman" w:eastAsia="楷体" w:cs="Times New Roman"/>
          <w:sz w:val="32"/>
          <w:szCs w:val="24"/>
        </w:rPr>
      </w:pPr>
      <w:bookmarkStart w:id="22" w:name="_Toc29784"/>
      <w:bookmarkStart w:id="23" w:name="_Toc26091"/>
      <w:r>
        <w:rPr>
          <w:rFonts w:hint="eastAsia" w:ascii="Times New Roman" w:hAnsi="Times New Roman" w:eastAsia="楷体" w:cs="Times New Roman"/>
          <w:sz w:val="32"/>
          <w:szCs w:val="24"/>
        </w:rPr>
        <w:t xml:space="preserve"> </w:t>
      </w:r>
      <w:bookmarkStart w:id="24" w:name="_Toc8079"/>
      <w:bookmarkStart w:id="25" w:name="_Toc24644"/>
      <w:bookmarkStart w:id="26" w:name="_Toc15949"/>
      <w:bookmarkStart w:id="27" w:name="_Toc21753"/>
      <w:r>
        <w:rPr>
          <w:rFonts w:hint="eastAsia" w:ascii="Times New Roman" w:hAnsi="Times New Roman" w:eastAsia="楷体" w:cs="Times New Roman"/>
          <w:sz w:val="32"/>
          <w:szCs w:val="24"/>
        </w:rPr>
        <w:t>规划定位</w:t>
      </w:r>
      <w:bookmarkEnd w:id="22"/>
      <w:bookmarkEnd w:id="23"/>
      <w:bookmarkEnd w:id="24"/>
      <w:bookmarkEnd w:id="25"/>
      <w:bookmarkEnd w:id="26"/>
      <w:bookmarkEnd w:id="27"/>
    </w:p>
    <w:p w14:paraId="24823DD2">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国土空间总体规划是对市级、县级国土空间总体规划要求的细化落实，是对乡镇域国土空间保护开发作出的具体安排，是上集镇进行空间治理的工具，是编制城镇开发边界内的详细规划和城镇开发边界外的村庄规划、实施国土空间用途管制的基本依据。</w:t>
      </w:r>
    </w:p>
    <w:p w14:paraId="567540B1">
      <w:pPr>
        <w:keepNext/>
        <w:keepLines/>
        <w:numPr>
          <w:ilvl w:val="2"/>
          <w:numId w:val="2"/>
        </w:numPr>
        <w:spacing w:line="600" w:lineRule="exact"/>
        <w:ind w:firstLineChars="0"/>
        <w:jc w:val="left"/>
        <w:outlineLvl w:val="1"/>
        <w:rPr>
          <w:rFonts w:ascii="Times New Roman" w:hAnsi="Times New Roman" w:eastAsia="楷体" w:cs="Times New Roman"/>
          <w:sz w:val="32"/>
          <w:szCs w:val="24"/>
        </w:rPr>
      </w:pPr>
      <w:bookmarkStart w:id="28" w:name="_Toc1369"/>
      <w:bookmarkStart w:id="29" w:name="_Toc31858"/>
      <w:r>
        <w:rPr>
          <w:rFonts w:hint="eastAsia" w:ascii="Times New Roman" w:hAnsi="Times New Roman" w:eastAsia="楷体" w:cs="Times New Roman"/>
          <w:sz w:val="32"/>
          <w:szCs w:val="24"/>
        </w:rPr>
        <w:t xml:space="preserve"> </w:t>
      </w:r>
      <w:bookmarkStart w:id="30" w:name="_Toc21856"/>
      <w:bookmarkStart w:id="31" w:name="_Toc11604"/>
      <w:bookmarkStart w:id="32" w:name="_Toc1757"/>
      <w:bookmarkStart w:id="33" w:name="_Toc21303"/>
      <w:r>
        <w:rPr>
          <w:rFonts w:hint="eastAsia" w:ascii="Times New Roman" w:hAnsi="Times New Roman" w:eastAsia="楷体" w:cs="Times New Roman"/>
          <w:sz w:val="32"/>
          <w:szCs w:val="24"/>
        </w:rPr>
        <w:t>规划原则</w:t>
      </w:r>
      <w:bookmarkEnd w:id="28"/>
      <w:bookmarkEnd w:id="29"/>
      <w:bookmarkEnd w:id="30"/>
      <w:bookmarkEnd w:id="31"/>
      <w:bookmarkEnd w:id="32"/>
      <w:bookmarkEnd w:id="33"/>
    </w:p>
    <w:p w14:paraId="3A1F643F">
      <w:pPr>
        <w:widowControl/>
        <w:spacing w:line="600" w:lineRule="exact"/>
        <w:ind w:firstLine="640"/>
        <w:rPr>
          <w:rFonts w:ascii="Times New Roman" w:hAnsi="Times New Roman" w:eastAsia="仿宋GB2312"/>
          <w:color w:val="000000"/>
          <w:kern w:val="0"/>
          <w:sz w:val="32"/>
          <w:szCs w:val="32"/>
          <w:lang w:bidi="ar"/>
        </w:rPr>
      </w:pPr>
      <w:bookmarkStart w:id="34" w:name="_Toc18878"/>
      <w:r>
        <w:rPr>
          <w:rFonts w:hint="eastAsia" w:ascii="Times New Roman" w:hAnsi="Times New Roman" w:eastAsia="仿宋GB2312"/>
          <w:color w:val="000000"/>
          <w:kern w:val="0"/>
          <w:sz w:val="32"/>
          <w:szCs w:val="32"/>
          <w:lang w:bidi="ar"/>
        </w:rPr>
        <w:t>1、</w:t>
      </w:r>
      <w:r>
        <w:rPr>
          <w:rFonts w:hint="eastAsia" w:ascii="Times New Roman" w:hAnsi="Times New Roman" w:eastAsia="楷体"/>
          <w:color w:val="000000"/>
          <w:kern w:val="0"/>
          <w:sz w:val="32"/>
          <w:szCs w:val="32"/>
          <w:lang w:bidi="ar"/>
        </w:rPr>
        <w:t>坚持底线约束，承上启下。</w:t>
      </w:r>
      <w:r>
        <w:rPr>
          <w:rFonts w:hint="eastAsia" w:ascii="Times New Roman" w:hAnsi="Times New Roman" w:eastAsia="仿宋GB2312"/>
          <w:color w:val="000000"/>
          <w:kern w:val="0"/>
          <w:sz w:val="32"/>
          <w:szCs w:val="32"/>
          <w:lang w:bidi="ar"/>
        </w:rPr>
        <w:t>落实上位规划划定的“三条控制线”，严守粮食、生态安全，严格实施资源总量和强度管控。</w:t>
      </w:r>
    </w:p>
    <w:p w14:paraId="2F5E4A84">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楷体"/>
          <w:color w:val="000000"/>
          <w:kern w:val="0"/>
          <w:sz w:val="32"/>
          <w:szCs w:val="32"/>
          <w:lang w:bidi="ar"/>
        </w:rPr>
        <w:t>2、坚持安全底线，绿色发展。</w:t>
      </w:r>
      <w:r>
        <w:rPr>
          <w:rFonts w:hint="eastAsia" w:ascii="Times New Roman" w:hAnsi="Times New Roman" w:eastAsia="仿宋GB2312"/>
          <w:color w:val="000000"/>
          <w:kern w:val="0"/>
          <w:sz w:val="32"/>
          <w:szCs w:val="32"/>
          <w:lang w:bidi="ar"/>
        </w:rPr>
        <w:t>落实山水林田湖草生命共同体系统观，严守生态环境底线，优化人居环境，推动形成绿色发展方式和生活方式。</w:t>
      </w:r>
    </w:p>
    <w:p w14:paraId="6BD01521">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3、</w:t>
      </w:r>
      <w:r>
        <w:rPr>
          <w:rFonts w:hint="eastAsia" w:ascii="Times New Roman" w:hAnsi="Times New Roman" w:eastAsia="楷体"/>
          <w:color w:val="000000"/>
          <w:kern w:val="0"/>
          <w:sz w:val="32"/>
          <w:szCs w:val="32"/>
          <w:lang w:bidi="ar"/>
        </w:rPr>
        <w:t>坚持以人为本，品质提升。</w:t>
      </w:r>
      <w:r>
        <w:rPr>
          <w:rFonts w:hint="eastAsia" w:ascii="Times New Roman" w:hAnsi="Times New Roman" w:eastAsia="仿宋GB2312"/>
          <w:color w:val="000000"/>
          <w:kern w:val="0"/>
          <w:sz w:val="32"/>
          <w:szCs w:val="32"/>
          <w:lang w:bidi="ar"/>
        </w:rPr>
        <w:t>以人民为中心，处理好人与自然的和谐关系，实现全镇高质量发展、高品质生活。</w:t>
      </w:r>
    </w:p>
    <w:p w14:paraId="36D07278">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4、</w:t>
      </w:r>
      <w:r>
        <w:rPr>
          <w:rFonts w:hint="eastAsia" w:ascii="Times New Roman" w:hAnsi="Times New Roman" w:eastAsia="楷体"/>
          <w:color w:val="000000"/>
          <w:kern w:val="0"/>
          <w:sz w:val="32"/>
          <w:szCs w:val="32"/>
          <w:lang w:bidi="ar"/>
        </w:rPr>
        <w:t>坚持全域管控，适度集约。</w:t>
      </w:r>
      <w:r>
        <w:rPr>
          <w:rFonts w:hint="eastAsia" w:ascii="Times New Roman" w:hAnsi="Times New Roman" w:eastAsia="仿宋GB2312"/>
          <w:color w:val="000000"/>
          <w:kern w:val="0"/>
          <w:sz w:val="32"/>
          <w:szCs w:val="32"/>
          <w:lang w:bidi="ar"/>
        </w:rPr>
        <w:t>落实全面节约集约战略，强化自然资源统筹利用和用途管控，探索控制建设用地增量，盘活存量的内涵式发展路径，提高土地利用效率。</w:t>
      </w:r>
    </w:p>
    <w:p w14:paraId="16322D11">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5、</w:t>
      </w:r>
      <w:r>
        <w:rPr>
          <w:rFonts w:ascii="Times New Roman" w:hAnsi="Times New Roman" w:eastAsia="楷体"/>
          <w:color w:val="000000"/>
          <w:kern w:val="0"/>
          <w:sz w:val="32"/>
          <w:szCs w:val="32"/>
          <w:lang w:bidi="ar"/>
        </w:rPr>
        <w:t>坚持承上启下，体现特色。</w:t>
      </w:r>
      <w:r>
        <w:rPr>
          <w:rFonts w:ascii="Times New Roman" w:hAnsi="Times New Roman" w:eastAsia="仿宋GB2312"/>
          <w:color w:val="000000"/>
          <w:kern w:val="0"/>
          <w:sz w:val="32"/>
          <w:szCs w:val="32"/>
          <w:lang w:bidi="ar"/>
        </w:rPr>
        <w:t>严格落实市县总规下达的传导内容，并将本级约束性指标（除用水总量）分解至村庄，因地制宜体现黑土地保护、生态环境等特色。</w:t>
      </w:r>
    </w:p>
    <w:p w14:paraId="15B0044E">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6、</w:t>
      </w:r>
      <w:r>
        <w:rPr>
          <w:rFonts w:hint="eastAsia" w:ascii="Times New Roman" w:hAnsi="Times New Roman" w:eastAsia="楷体"/>
          <w:color w:val="000000"/>
          <w:kern w:val="0"/>
          <w:sz w:val="32"/>
          <w:szCs w:val="32"/>
          <w:lang w:bidi="ar"/>
        </w:rPr>
        <w:t>坚持公众参与，开放共享。</w:t>
      </w:r>
      <w:r>
        <w:rPr>
          <w:rFonts w:hint="eastAsia" w:ascii="Times New Roman" w:hAnsi="Times New Roman" w:eastAsia="仿宋GB2312"/>
          <w:color w:val="000000"/>
          <w:kern w:val="0"/>
          <w:sz w:val="32"/>
          <w:szCs w:val="32"/>
          <w:lang w:bidi="ar"/>
        </w:rPr>
        <w:t>广泛征求公众意见，保障公众的知情权、参与权和监督权。</w:t>
      </w:r>
    </w:p>
    <w:bookmarkEnd w:id="34"/>
    <w:p w14:paraId="08CC1D49">
      <w:pPr>
        <w:keepNext/>
        <w:keepLines/>
        <w:numPr>
          <w:ilvl w:val="2"/>
          <w:numId w:val="2"/>
        </w:numPr>
        <w:spacing w:line="600" w:lineRule="exact"/>
        <w:ind w:firstLineChars="0"/>
        <w:jc w:val="left"/>
        <w:outlineLvl w:val="1"/>
        <w:rPr>
          <w:rFonts w:ascii="Times New Roman" w:hAnsi="Times New Roman" w:eastAsia="楷体" w:cs="Times New Roman"/>
          <w:sz w:val="32"/>
          <w:szCs w:val="24"/>
        </w:rPr>
      </w:pPr>
      <w:bookmarkStart w:id="35" w:name="_Toc11207"/>
      <w:bookmarkStart w:id="36" w:name="_Toc13368"/>
      <w:r>
        <w:rPr>
          <w:rFonts w:hint="eastAsia" w:ascii="Times New Roman" w:hAnsi="Times New Roman" w:eastAsia="楷体" w:cs="Times New Roman"/>
          <w:sz w:val="32"/>
          <w:szCs w:val="24"/>
        </w:rPr>
        <w:t xml:space="preserve"> </w:t>
      </w:r>
      <w:bookmarkStart w:id="37" w:name="_Toc26062"/>
      <w:bookmarkStart w:id="38" w:name="_Toc4133"/>
      <w:bookmarkStart w:id="39" w:name="_Toc28860"/>
      <w:bookmarkStart w:id="40" w:name="_Toc27448"/>
      <w:r>
        <w:rPr>
          <w:rFonts w:hint="eastAsia" w:ascii="Times New Roman" w:hAnsi="Times New Roman" w:eastAsia="楷体" w:cs="Times New Roman"/>
          <w:sz w:val="32"/>
          <w:szCs w:val="24"/>
        </w:rPr>
        <w:t>规划期限</w:t>
      </w:r>
      <w:bookmarkEnd w:id="35"/>
      <w:bookmarkEnd w:id="36"/>
      <w:bookmarkEnd w:id="37"/>
      <w:bookmarkEnd w:id="38"/>
      <w:bookmarkEnd w:id="39"/>
      <w:bookmarkEnd w:id="40"/>
    </w:p>
    <w:p w14:paraId="4B04D058">
      <w:pPr>
        <w:widowControl/>
        <w:spacing w:line="600" w:lineRule="exact"/>
        <w:ind w:firstLine="640"/>
        <w:rPr>
          <w:rFonts w:ascii="Times New Roman" w:hAnsi="Times New Roman" w:eastAsia="仿宋GB2312"/>
          <w:color w:val="000000"/>
          <w:kern w:val="0"/>
          <w:sz w:val="32"/>
          <w:szCs w:val="32"/>
          <w:lang w:bidi="ar"/>
        </w:rPr>
      </w:pPr>
      <w:r>
        <w:rPr>
          <w:rFonts w:ascii="Times New Roman" w:hAnsi="Times New Roman" w:eastAsia="仿宋GB2312"/>
          <w:color w:val="000000"/>
          <w:kern w:val="0"/>
          <w:sz w:val="32"/>
          <w:szCs w:val="32"/>
          <w:lang w:bidi="ar"/>
        </w:rPr>
        <w:t>本轮规划期限为2021—2035年，规划基期年为2020年，</w:t>
      </w:r>
      <w:r>
        <w:rPr>
          <w:rFonts w:hint="eastAsia" w:ascii="Times New Roman" w:hAnsi="Times New Roman" w:eastAsia="仿宋GB2312"/>
          <w:color w:val="000000"/>
          <w:kern w:val="0"/>
          <w:sz w:val="32"/>
          <w:szCs w:val="32"/>
          <w:lang w:bidi="ar"/>
        </w:rPr>
        <w:t>近期年为2025年，远景展望至2050年。</w:t>
      </w:r>
    </w:p>
    <w:p w14:paraId="7C260397">
      <w:pPr>
        <w:pStyle w:val="29"/>
        <w:spacing w:line="600" w:lineRule="exact"/>
        <w:ind w:firstLine="632" w:firstLineChars="200"/>
        <w:rPr>
          <w:rFonts w:hint="eastAsia" w:ascii="方正仿宋_GB2312" w:hAnsi="方正仿宋_GB2312" w:eastAsia="方正仿宋_GB2312" w:cs="方正仿宋_GB2312"/>
          <w:snapToGrid w:val="0"/>
          <w:color w:val="000000"/>
          <w:spacing w:val="-2"/>
          <w:kern w:val="0"/>
          <w:sz w:val="32"/>
          <w:szCs w:val="32"/>
        </w:rPr>
      </w:pPr>
      <w:r>
        <w:rPr>
          <w:rFonts w:hint="eastAsia" w:ascii="方正仿宋_GB2312" w:hAnsi="方正仿宋_GB2312" w:eastAsia="方正仿宋_GB2312" w:cs="方正仿宋_GB2312"/>
          <w:snapToGrid w:val="0"/>
          <w:color w:val="000000"/>
          <w:spacing w:val="-2"/>
          <w:kern w:val="0"/>
          <w:sz w:val="32"/>
          <w:szCs w:val="32"/>
        </w:rPr>
        <w:br w:type="page"/>
      </w:r>
    </w:p>
    <w:p w14:paraId="62B7B954">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rPr>
      </w:pPr>
      <w:bookmarkStart w:id="41" w:name="_Toc1455"/>
      <w:bookmarkStart w:id="42" w:name="_Toc26443"/>
      <w:bookmarkStart w:id="43" w:name="_Toc25857"/>
      <w:bookmarkStart w:id="44" w:name="_Toc20589"/>
      <w:bookmarkStart w:id="45" w:name="_Toc13146"/>
      <w:r>
        <w:rPr>
          <w:rFonts w:hint="eastAsia" w:ascii="Times New Roman" w:hAnsi="Times New Roman" w:eastAsia="方正小标宋简体" w:cs="方正小标宋简体"/>
          <w:b w:val="0"/>
          <w:bCs w:val="0"/>
          <w:sz w:val="36"/>
          <w:szCs w:val="36"/>
        </w:rPr>
        <w:t>现状基础</w:t>
      </w:r>
      <w:bookmarkEnd w:id="41"/>
      <w:bookmarkEnd w:id="42"/>
      <w:bookmarkEnd w:id="43"/>
      <w:bookmarkEnd w:id="44"/>
      <w:bookmarkEnd w:id="45"/>
    </w:p>
    <w:p w14:paraId="72CDDAD4">
      <w:pPr>
        <w:pStyle w:val="4"/>
        <w:numPr>
          <w:ilvl w:val="1"/>
          <w:numId w:val="2"/>
        </w:numPr>
        <w:spacing w:line="600" w:lineRule="exact"/>
        <w:ind w:firstLine="640" w:firstLineChars="200"/>
        <w:rPr>
          <w:rFonts w:ascii="Times New Roman" w:hAnsi="Times New Roman" w:cs="Times New Roman"/>
          <w:b w:val="0"/>
          <w:sz w:val="32"/>
        </w:rPr>
      </w:pPr>
      <w:bookmarkStart w:id="46" w:name="_Toc6161"/>
      <w:bookmarkStart w:id="47" w:name="_Toc17011"/>
      <w:bookmarkStart w:id="48" w:name="_Toc8756"/>
      <w:bookmarkStart w:id="49" w:name="_Toc31598"/>
      <w:bookmarkStart w:id="50" w:name="_Toc28578"/>
      <w:bookmarkStart w:id="51" w:name="_Toc10100"/>
      <w:bookmarkStart w:id="52" w:name="_Toc28274"/>
      <w:r>
        <w:rPr>
          <w:rFonts w:hint="eastAsia" w:ascii="Times New Roman" w:hAnsi="Times New Roman" w:cs="Times New Roman"/>
          <w:b w:val="0"/>
          <w:sz w:val="32"/>
        </w:rPr>
        <w:t>现状特征与主要问题</w:t>
      </w:r>
      <w:bookmarkEnd w:id="46"/>
      <w:bookmarkEnd w:id="47"/>
      <w:bookmarkEnd w:id="48"/>
      <w:bookmarkEnd w:id="49"/>
      <w:bookmarkEnd w:id="50"/>
    </w:p>
    <w:p w14:paraId="664611B8">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53" w:name="_Toc30157"/>
      <w:r>
        <w:rPr>
          <w:rFonts w:hint="eastAsia" w:ascii="Times New Roman" w:hAnsi="Times New Roman" w:eastAsia="楷体" w:cs="Times New Roman"/>
          <w:sz w:val="32"/>
          <w:szCs w:val="24"/>
        </w:rPr>
        <w:t xml:space="preserve"> 区位与交通概况</w:t>
      </w:r>
      <w:bookmarkEnd w:id="53"/>
    </w:p>
    <w:p w14:paraId="06ACD40C">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1、地理区位</w:t>
      </w:r>
    </w:p>
    <w:p w14:paraId="1FE32898">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上集镇隶属于黑龙江省绥化市绥棱县，地处绥棱县东南部、努敏河东岸，东与长山镇相连，南与泥尔河乡接壤，西与靠山乡、后头乡隔努敏河相望，北与阁山镇毗邻。</w:t>
      </w:r>
    </w:p>
    <w:p w14:paraId="0F1C1194">
      <w:pPr>
        <w:pStyle w:val="29"/>
        <w:spacing w:line="600" w:lineRule="exact"/>
        <w:ind w:firstLine="640" w:firstLineChars="200"/>
        <w:rPr>
          <w:rFonts w:hint="eastAsia" w:ascii="楷体" w:hAnsi="楷体" w:eastAsia="楷体" w:cs="楷体"/>
          <w:sz w:val="32"/>
          <w:szCs w:val="22"/>
        </w:rPr>
      </w:pPr>
      <w:bookmarkStart w:id="54" w:name="_Toc29234"/>
      <w:bookmarkStart w:id="55" w:name="_Toc24072"/>
      <w:r>
        <w:rPr>
          <w:rFonts w:hint="eastAsia" w:ascii="楷体" w:hAnsi="楷体" w:eastAsia="楷体" w:cs="楷体"/>
          <w:sz w:val="32"/>
          <w:szCs w:val="22"/>
        </w:rPr>
        <w:t>2、交通条件</w:t>
      </w:r>
    </w:p>
    <w:p w14:paraId="6A208AF8">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交通条件良好，国道333由西北向东南穿过镇域，与县道171、省道510形成“1+X”的公路网络格局；交通运输系统相对通达，主要干线公路包括国道333、省道510、县道171、乡道001、乡道015，可经由绥化市北林区、庆安县、长山镇、阁山镇等周边地区通往海伦市、林口县、拜泉县等地。</w:t>
      </w:r>
    </w:p>
    <w:bookmarkEnd w:id="54"/>
    <w:bookmarkEnd w:id="55"/>
    <w:p w14:paraId="749DED8B">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56" w:name="_Toc15564"/>
      <w:r>
        <w:rPr>
          <w:rFonts w:hint="eastAsia" w:ascii="Times New Roman" w:hAnsi="Times New Roman" w:eastAsia="楷体" w:cs="Times New Roman"/>
          <w:sz w:val="32"/>
          <w:szCs w:val="24"/>
        </w:rPr>
        <w:t xml:space="preserve"> 自然地理特征与资源条件</w:t>
      </w:r>
      <w:bookmarkEnd w:id="56"/>
    </w:p>
    <w:p w14:paraId="34893C9E">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1、地形地貌</w:t>
      </w:r>
    </w:p>
    <w:p w14:paraId="3FA7C366">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上集镇地处小兴安岭向松嫩平原过渡的丘陵、漫川高平原地带，地势总体是东高西低、西部土地平坦。</w:t>
      </w:r>
    </w:p>
    <w:p w14:paraId="6A10DBDA">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2、水文条件</w:t>
      </w:r>
    </w:p>
    <w:p w14:paraId="6B9EB8A6">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境内水土条件良好，水系密集，有大小河流4条，属努敏河水系，除此之外还有红旗水库，努敏河水系上集镇段总长14千米，总流域面积22.4平方千米。河网密度0.65千米/平方千米；从东至西流经境内大兴、天放、上集、平安、诺敏河5个村。</w:t>
      </w:r>
    </w:p>
    <w:p w14:paraId="7E58E336">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3、气候条件</w:t>
      </w:r>
    </w:p>
    <w:p w14:paraId="52148BCD">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4、资源条件</w:t>
      </w:r>
    </w:p>
    <w:bookmarkEnd w:id="51"/>
    <w:bookmarkEnd w:id="52"/>
    <w:p w14:paraId="0FC1754F">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土壤肥沃、类型多样。上集镇地带性土壤主要为黑土、泥炭土、草甸土、水稻土，以黑土为主。上集镇地处绥化-海伦天然寒地富硒带，土壤硒元素含量丰富。</w:t>
      </w:r>
    </w:p>
    <w:p w14:paraId="4F7D30E7">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乡村民俗旅游资源丰富。上集镇旅游资源主要有民俗体验和红色旅游。其中有民族、大兴两个朝鲜族村，具有少数民族文化旅游基础；天放村是革命老区村，是抗日名将于天放曾经战斗过的地方，红色抗联文化氛围浓厚。</w:t>
      </w:r>
    </w:p>
    <w:p w14:paraId="6175E46D">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57" w:name="_Toc21937"/>
      <w:bookmarkStart w:id="58" w:name="_Toc17077"/>
      <w:bookmarkStart w:id="59" w:name="_Toc22987"/>
      <w:bookmarkStart w:id="60" w:name="_Toc7742"/>
      <w:bookmarkStart w:id="61" w:name="_Toc1178"/>
      <w:bookmarkStart w:id="62" w:name="_Toc2466"/>
      <w:bookmarkStart w:id="63" w:name="_Toc190"/>
      <w:bookmarkStart w:id="64" w:name="_Toc26259"/>
      <w:r>
        <w:rPr>
          <w:rFonts w:hint="eastAsia" w:ascii="Times New Roman" w:hAnsi="Times New Roman" w:eastAsia="楷体" w:cs="Times New Roman"/>
          <w:sz w:val="32"/>
          <w:szCs w:val="24"/>
        </w:rPr>
        <w:t xml:space="preserve"> 社会经济概况</w:t>
      </w:r>
      <w:bookmarkEnd w:id="57"/>
      <w:bookmarkEnd w:id="58"/>
      <w:bookmarkEnd w:id="59"/>
      <w:bookmarkEnd w:id="60"/>
      <w:bookmarkEnd w:id="61"/>
      <w:bookmarkEnd w:id="62"/>
    </w:p>
    <w:p w14:paraId="217987A4">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农业经济发展水平较高，以水稻种植产业为主导，大力发展寒地富硒水稻。第二产业发展良好，镇政府驻地有粮食加工产业集群，依托上善河米业、上集粮油、鑫泉米业等多家大米加工企业，成立了大米加工企业协会。第三产业服务业相较于一、二产业发展缓慢，但提升空间较大。</w:t>
      </w:r>
    </w:p>
    <w:bookmarkEnd w:id="63"/>
    <w:bookmarkEnd w:id="64"/>
    <w:p w14:paraId="268A819D">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65" w:name="_Toc20889"/>
      <w:r>
        <w:rPr>
          <w:rFonts w:hint="eastAsia" w:ascii="Times New Roman" w:hAnsi="Times New Roman" w:eastAsia="楷体" w:cs="Times New Roman"/>
          <w:sz w:val="32"/>
          <w:szCs w:val="24"/>
        </w:rPr>
        <w:t xml:space="preserve"> 核心问题</w:t>
      </w:r>
      <w:bookmarkEnd w:id="65"/>
    </w:p>
    <w:p w14:paraId="7E5A17CD">
      <w:pPr>
        <w:pStyle w:val="32"/>
        <w:ind w:firstLine="640"/>
        <w:rPr>
          <w:rFonts w:eastAsia="仿宋GB2312" w:cs="仿宋"/>
          <w:color w:val="000000"/>
          <w:kern w:val="0"/>
          <w:szCs w:val="32"/>
          <w:lang w:bidi="ar"/>
        </w:rPr>
      </w:pPr>
      <w:r>
        <w:rPr>
          <w:rFonts w:hint="eastAsia" w:ascii="楷体" w:hAnsi="楷体" w:eastAsia="楷体" w:cs="楷体"/>
          <w:szCs w:val="22"/>
        </w:rPr>
        <w:t>1、全镇人口外流严重。</w:t>
      </w:r>
      <w:r>
        <w:rPr>
          <w:rFonts w:hint="eastAsia" w:eastAsia="仿宋GB2312" w:cs="仿宋"/>
          <w:color w:val="000000"/>
          <w:kern w:val="0"/>
          <w:szCs w:val="32"/>
          <w:lang w:bidi="ar"/>
        </w:rPr>
        <w:t>空心化、老龄化、空巢化等问题较为突出。</w:t>
      </w:r>
    </w:p>
    <w:p w14:paraId="2E708246">
      <w:pPr>
        <w:pStyle w:val="32"/>
        <w:ind w:firstLine="640"/>
        <w:rPr>
          <w:rFonts w:eastAsia="仿宋GB2312" w:cs="仿宋"/>
          <w:color w:val="000000"/>
          <w:kern w:val="0"/>
          <w:szCs w:val="32"/>
          <w:lang w:bidi="ar"/>
        </w:rPr>
      </w:pPr>
      <w:r>
        <w:rPr>
          <w:rFonts w:hint="eastAsia" w:ascii="楷体" w:hAnsi="楷体" w:eastAsia="楷体" w:cs="楷体"/>
          <w:szCs w:val="22"/>
        </w:rPr>
        <w:t>2、环境保护基础设施薄弱。</w:t>
      </w:r>
      <w:r>
        <w:rPr>
          <w:rFonts w:hint="eastAsia" w:eastAsia="仿宋GB2312" w:cs="仿宋"/>
          <w:color w:val="000000"/>
          <w:kern w:val="0"/>
          <w:szCs w:val="32"/>
          <w:lang w:bidi="ar"/>
        </w:rPr>
        <w:t>现阶段，上集镇垃圾处置、污水处理等环境基础设施存在质量不高和数量不足问题。黑土耕地受水蚀、风蚀与冻融侵蚀等因素影响，造成部分黑土资源流失，黑土层变薄、变瘦、变硬，地力水平下降。</w:t>
      </w:r>
    </w:p>
    <w:p w14:paraId="5E0ADDD9">
      <w:pPr>
        <w:pStyle w:val="32"/>
        <w:ind w:firstLine="640"/>
        <w:rPr>
          <w:rFonts w:eastAsia="仿宋GB2312" w:cs="仿宋"/>
          <w:color w:val="000000"/>
          <w:kern w:val="0"/>
          <w:szCs w:val="32"/>
          <w:lang w:bidi="ar"/>
        </w:rPr>
      </w:pPr>
      <w:r>
        <w:rPr>
          <w:rFonts w:hint="eastAsia" w:ascii="楷体" w:hAnsi="楷体" w:eastAsia="楷体" w:cs="楷体"/>
          <w:szCs w:val="22"/>
        </w:rPr>
        <w:t>3、农业技术水平较低。</w:t>
      </w:r>
      <w:r>
        <w:rPr>
          <w:rFonts w:hint="eastAsia" w:eastAsia="仿宋GB2312" w:cs="仿宋"/>
          <w:color w:val="000000"/>
          <w:kern w:val="0"/>
          <w:szCs w:val="32"/>
          <w:lang w:bidi="ar"/>
        </w:rPr>
        <w:t>农业是上集镇主要产业，但是经营方式陈旧，技术水平不高，还存在着农产品质量不过关和收益低的问题。</w:t>
      </w:r>
    </w:p>
    <w:p w14:paraId="719ECE9F">
      <w:pPr>
        <w:pStyle w:val="32"/>
        <w:ind w:firstLine="640"/>
      </w:pPr>
      <w:r>
        <w:rPr>
          <w:rFonts w:hint="eastAsia" w:ascii="楷体" w:hAnsi="楷体" w:eastAsia="楷体" w:cs="楷体"/>
          <w:szCs w:val="22"/>
        </w:rPr>
        <w:t>4、城乡风貌冲突。</w:t>
      </w:r>
      <w:r>
        <w:rPr>
          <w:rFonts w:hint="eastAsia" w:eastAsia="仿宋GB2312" w:cs="仿宋"/>
          <w:color w:val="000000"/>
          <w:kern w:val="0"/>
          <w:szCs w:val="32"/>
          <w:lang w:bidi="ar"/>
        </w:rPr>
        <w:t>上集镇政府驻地风貌以仿古建筑为主要特色，但镇政府驻地建筑风格缺少统一的空间表达，乡村整体建设质量差别较大，部分村庄生产生活环境亟待改善。</w:t>
      </w:r>
    </w:p>
    <w:p w14:paraId="239794CC">
      <w:pPr>
        <w:pStyle w:val="4"/>
        <w:numPr>
          <w:ilvl w:val="1"/>
          <w:numId w:val="2"/>
        </w:numPr>
        <w:spacing w:line="600" w:lineRule="exact"/>
        <w:ind w:firstLine="640" w:firstLineChars="200"/>
        <w:rPr>
          <w:rFonts w:ascii="Times New Roman" w:hAnsi="Times New Roman" w:cs="Times New Roman"/>
          <w:b w:val="0"/>
          <w:sz w:val="32"/>
        </w:rPr>
      </w:pPr>
      <w:bookmarkStart w:id="66" w:name="_Toc11141"/>
      <w:bookmarkStart w:id="67" w:name="_Toc22231"/>
      <w:bookmarkStart w:id="68" w:name="_Toc389"/>
      <w:bookmarkStart w:id="69" w:name="_Toc29004"/>
      <w:bookmarkStart w:id="70" w:name="_Toc27595"/>
      <w:bookmarkStart w:id="71" w:name="_Toc11343"/>
      <w:bookmarkStart w:id="72" w:name="_Toc22544"/>
      <w:r>
        <w:rPr>
          <w:rFonts w:hint="eastAsia" w:ascii="Times New Roman" w:hAnsi="Times New Roman" w:cs="Times New Roman"/>
          <w:b w:val="0"/>
          <w:sz w:val="32"/>
        </w:rPr>
        <w:t>机遇与挑战</w:t>
      </w:r>
      <w:bookmarkEnd w:id="66"/>
      <w:bookmarkEnd w:id="67"/>
      <w:bookmarkEnd w:id="68"/>
      <w:bookmarkEnd w:id="69"/>
      <w:bookmarkEnd w:id="70"/>
    </w:p>
    <w:p w14:paraId="3889DC2D">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73" w:name="_Toc21875"/>
      <w:r>
        <w:rPr>
          <w:rFonts w:hint="eastAsia" w:ascii="Times New Roman" w:hAnsi="Times New Roman" w:eastAsia="楷体" w:cs="Times New Roman"/>
          <w:sz w:val="32"/>
          <w:szCs w:val="24"/>
        </w:rPr>
        <w:t xml:space="preserve"> 发展机遇</w:t>
      </w:r>
      <w:bookmarkEnd w:id="73"/>
    </w:p>
    <w:p w14:paraId="56EC520E">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1、产业与经济发展机遇</w:t>
      </w:r>
    </w:p>
    <w:p w14:paraId="07D31938">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上集镇通过发挥自身优势，避免产业同质化，实现相对错位发展。以富硒水稻、大蒜等产业为抓手，大力发展绿色低碳和生态产业，着力打造上集镇特色产业品牌，推动经济转型升级，实现科学发展。</w:t>
      </w:r>
    </w:p>
    <w:p w14:paraId="58F5AA26">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2、新型城镇化发展机遇</w:t>
      </w:r>
    </w:p>
    <w:p w14:paraId="4E5AEE63">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推进以县城为重要载体的城镇化，为上集镇发展提供了新的机遇。这一战略强调把城乡融合发展纳入新型城镇化建设，意味着城市建设资源配置向乡镇倾斜，促进上集镇成为极具特色、富有活力、宜居宜业的现代化城镇，促进乡镇体系完善，缩小与县城的发展差距，为上集镇发展带来了新的机遇。</w:t>
      </w:r>
    </w:p>
    <w:p w14:paraId="45B1DD76">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74" w:name="_Toc11185"/>
      <w:r>
        <w:rPr>
          <w:rFonts w:hint="eastAsia" w:ascii="Times New Roman" w:hAnsi="Times New Roman" w:eastAsia="楷体" w:cs="Times New Roman"/>
          <w:sz w:val="32"/>
          <w:szCs w:val="24"/>
        </w:rPr>
        <w:t xml:space="preserve"> 面临挑战</w:t>
      </w:r>
      <w:bookmarkEnd w:id="74"/>
    </w:p>
    <w:p w14:paraId="426736F5">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1、人口流失及老龄化加剧，对推进乡村振兴带来挑战</w:t>
      </w:r>
    </w:p>
    <w:p w14:paraId="3101A77D">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近年来，上集镇人口一直处于负增长状态，人口减少及老龄化，一方面致使劳动力短缺和劳动力成本上升，导致经济增长乏力和乡村振兴后劲不足；另一方面是老龄化社会所带来的社会保障和公共服务压力，对城乡养老设施配置带来严重挑战。</w:t>
      </w:r>
    </w:p>
    <w:p w14:paraId="391F2DD1">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2、气象灾害对未来发展提出新挑战</w:t>
      </w:r>
    </w:p>
    <w:p w14:paraId="689AB2A7">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在雨季有洪涝灾害发生的风险，暴雨天气曾导致上集镇多个村庄水稻、玉米、大蒜遭受洪涝灾害，对农业生产造成巨大损失。其中大兴村、平安村、诺敏河村等水系发达区所受洪涝灾害影响更大。且本身处于季风带，导致镇域易出现大风、雷电等天气。北方秋季易遭受冰雹灾害，遭受袭击的农田，作物产量损失严重。如何充分预防气象灾害，加强基础设施建设来防范危险，是未来发展面临的重要挑战。</w:t>
      </w:r>
    </w:p>
    <w:p w14:paraId="0F306EEE">
      <w:pPr>
        <w:spacing w:line="600" w:lineRule="exact"/>
        <w:ind w:firstLine="724"/>
        <w:rPr>
          <w:rFonts w:hint="eastAsia" w:ascii="方正小标宋_GBK" w:hAnsi="方正小标宋_GBK" w:eastAsia="方正小标宋_GBK" w:cs="方正小标宋_GBK"/>
          <w:snapToGrid w:val="0"/>
          <w:color w:val="000000"/>
          <w:spacing w:val="1"/>
          <w:kern w:val="0"/>
          <w:sz w:val="36"/>
          <w:szCs w:val="36"/>
        </w:rPr>
      </w:pPr>
      <w:r>
        <w:rPr>
          <w:rFonts w:hint="eastAsia" w:ascii="方正小标宋_GBK" w:hAnsi="方正小标宋_GBK" w:eastAsia="方正小标宋_GBK" w:cs="方正小标宋_GBK"/>
          <w:snapToGrid w:val="0"/>
          <w:color w:val="000000"/>
          <w:spacing w:val="1"/>
          <w:kern w:val="0"/>
          <w:sz w:val="36"/>
          <w:szCs w:val="36"/>
        </w:rPr>
        <w:br w:type="page"/>
      </w:r>
    </w:p>
    <w:p w14:paraId="250A70CA">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rPr>
      </w:pPr>
      <w:bookmarkStart w:id="75" w:name="_Toc28059"/>
      <w:bookmarkStart w:id="76" w:name="_Toc10665"/>
      <w:bookmarkStart w:id="77" w:name="_Toc12014"/>
      <w:bookmarkStart w:id="78" w:name="_Toc31624"/>
      <w:bookmarkStart w:id="79" w:name="_Toc11278"/>
      <w:r>
        <w:rPr>
          <w:rFonts w:hint="eastAsia" w:ascii="Times New Roman" w:hAnsi="Times New Roman" w:eastAsia="方正小标宋简体" w:cs="方正小标宋简体"/>
          <w:b w:val="0"/>
          <w:bCs w:val="0"/>
          <w:sz w:val="36"/>
          <w:szCs w:val="36"/>
        </w:rPr>
        <w:t>发展目标与空间战略</w:t>
      </w:r>
      <w:bookmarkEnd w:id="71"/>
      <w:bookmarkEnd w:id="72"/>
      <w:bookmarkEnd w:id="75"/>
      <w:bookmarkEnd w:id="76"/>
      <w:bookmarkEnd w:id="77"/>
      <w:bookmarkEnd w:id="78"/>
      <w:bookmarkEnd w:id="79"/>
    </w:p>
    <w:p w14:paraId="563AAD4F">
      <w:pPr>
        <w:pStyle w:val="4"/>
        <w:numPr>
          <w:ilvl w:val="1"/>
          <w:numId w:val="2"/>
        </w:numPr>
        <w:spacing w:line="600" w:lineRule="exact"/>
        <w:ind w:firstLine="640" w:firstLineChars="200"/>
        <w:rPr>
          <w:rFonts w:ascii="Times New Roman" w:hAnsi="Times New Roman" w:cs="Times New Roman"/>
          <w:b w:val="0"/>
          <w:sz w:val="32"/>
        </w:rPr>
      </w:pPr>
      <w:bookmarkStart w:id="80" w:name="_Toc2118"/>
      <w:bookmarkStart w:id="81" w:name="_Toc12227"/>
      <w:bookmarkStart w:id="82" w:name="_Toc31978"/>
      <w:bookmarkStart w:id="83" w:name="_Toc12018"/>
      <w:bookmarkStart w:id="84" w:name="_Toc7372"/>
      <w:bookmarkStart w:id="85" w:name="_Toc21040"/>
      <w:bookmarkStart w:id="86" w:name="_Toc8437"/>
      <w:r>
        <w:rPr>
          <w:rFonts w:hint="eastAsia" w:ascii="Times New Roman" w:hAnsi="Times New Roman" w:cs="Times New Roman"/>
          <w:b w:val="0"/>
          <w:sz w:val="32"/>
        </w:rPr>
        <w:t>规划定位与目标</w:t>
      </w:r>
      <w:bookmarkEnd w:id="80"/>
      <w:bookmarkEnd w:id="81"/>
      <w:bookmarkEnd w:id="82"/>
      <w:bookmarkEnd w:id="83"/>
      <w:bookmarkEnd w:id="84"/>
      <w:bookmarkEnd w:id="85"/>
      <w:bookmarkEnd w:id="86"/>
    </w:p>
    <w:p w14:paraId="31D3B860">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87" w:name="_Toc5505"/>
      <w:r>
        <w:rPr>
          <w:rFonts w:hint="eastAsia" w:ascii="Times New Roman" w:hAnsi="Times New Roman" w:eastAsia="楷体" w:cs="Times New Roman"/>
          <w:sz w:val="32"/>
          <w:szCs w:val="24"/>
        </w:rPr>
        <w:t xml:space="preserve"> 乡镇定位</w:t>
      </w:r>
      <w:bookmarkEnd w:id="87"/>
    </w:p>
    <w:p w14:paraId="35A9FB96">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上集镇为绥棱县重点镇，以“依托资源禀赋基础，强化交通通道优势，挖掘农业特色资源，放大经济门户”为发展目标，定位为：绥棱县重要的水稻生产基地、农产品加工示范区和镇村旅游示范镇。</w:t>
      </w:r>
    </w:p>
    <w:p w14:paraId="24525116">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88" w:name="_Toc21476"/>
      <w:r>
        <w:rPr>
          <w:rFonts w:hint="eastAsia" w:ascii="Times New Roman" w:hAnsi="Times New Roman" w:eastAsia="楷体" w:cs="Times New Roman"/>
          <w:sz w:val="32"/>
          <w:szCs w:val="24"/>
        </w:rPr>
        <w:t xml:space="preserve"> 发展目标</w:t>
      </w:r>
      <w:bookmarkEnd w:id="88"/>
    </w:p>
    <w:p w14:paraId="4218B68B">
      <w:pPr>
        <w:pStyle w:val="32"/>
        <w:ind w:firstLine="640"/>
      </w:pPr>
      <w:r>
        <w:rPr>
          <w:rFonts w:hint="eastAsia" w:eastAsia="仿宋GB2312" w:cs="仿宋"/>
          <w:color w:val="000000"/>
          <w:kern w:val="0"/>
          <w:szCs w:val="32"/>
          <w:lang w:bidi="ar"/>
        </w:rPr>
        <w:t>至2025年，国土空间保护力度不断加强，保证生态保护红线和永久基本农田管控严格落实，实现生态管控、耕地保护扎实有效，初步优化“三生”空间；人口、资源环境和经济布局更加协调；农业发展稳定，稳步推进农村建设用地的整理整治，不断优化乡镇建设用地的结构。促进耕地保护和土地集约节约利用，增加耕地数量，充分利用闲置用地进行安置，实现人口集聚，土地集约发展；民生短板明显改善，人民生活水平显著提高，城乡基本公共服务水平稳步提升。</w:t>
      </w:r>
    </w:p>
    <w:p w14:paraId="03AA6A97">
      <w:pPr>
        <w:pStyle w:val="32"/>
        <w:ind w:firstLine="640"/>
        <w:rPr>
          <w:rFonts w:eastAsia="仿宋GB2312" w:cs="仿宋"/>
          <w:color w:val="000000"/>
          <w:kern w:val="0"/>
          <w:szCs w:val="32"/>
          <w:lang w:bidi="ar"/>
        </w:rPr>
      </w:pPr>
      <w:r>
        <w:rPr>
          <w:rFonts w:hint="eastAsia" w:eastAsia="仿宋GB2312" w:cs="仿宋"/>
          <w:color w:val="000000"/>
          <w:kern w:val="0"/>
          <w:szCs w:val="32"/>
          <w:lang w:bidi="ar"/>
        </w:rPr>
        <w:t>至2035年，国土空间格局不断优化，“三区三线”管控体系基本稳定，国土空间安全韧性提升；生态文明体系构建进程加快，生态环境质量不断提升；农业发展迅速，耕地保有量等任务基本完成，农业基础设施建设不断完善；全域魅力格局更加彰显，寒地人居环境品质提升，人民生活更加宜居幸福。</w:t>
      </w:r>
    </w:p>
    <w:p w14:paraId="733B6BB1">
      <w:pPr>
        <w:pStyle w:val="32"/>
        <w:ind w:firstLine="640"/>
        <w:rPr>
          <w:rFonts w:eastAsia="仿宋GB2312" w:cs="仿宋"/>
          <w:color w:val="000000"/>
          <w:kern w:val="0"/>
          <w:szCs w:val="32"/>
          <w:lang w:bidi="ar"/>
        </w:rPr>
      </w:pPr>
      <w:r>
        <w:rPr>
          <w:rFonts w:hint="eastAsia" w:eastAsia="仿宋GB2312" w:cs="仿宋"/>
          <w:color w:val="000000"/>
          <w:kern w:val="0"/>
          <w:szCs w:val="32"/>
          <w:lang w:bidi="ar"/>
        </w:rPr>
        <w:t>展望至2050年，实现镇村建设、产业发展、环境品质、经济条件等方面全方位提升。推动水稻种植、农产品加工、镇村旅游做大做强，全面建成以镇村旅游为特色、农产品加工、水稻种植为产业支撑，具有高品质生活环境的县域副中心。</w:t>
      </w:r>
    </w:p>
    <w:p w14:paraId="183A1DF9">
      <w:pPr>
        <w:pStyle w:val="4"/>
        <w:numPr>
          <w:ilvl w:val="1"/>
          <w:numId w:val="2"/>
        </w:numPr>
        <w:spacing w:line="600" w:lineRule="exact"/>
        <w:ind w:firstLine="640" w:firstLineChars="200"/>
        <w:rPr>
          <w:rFonts w:ascii="Times New Roman" w:hAnsi="Times New Roman" w:cs="Times New Roman"/>
          <w:b w:val="0"/>
          <w:sz w:val="32"/>
        </w:rPr>
      </w:pPr>
      <w:bookmarkStart w:id="89" w:name="_Toc13747"/>
      <w:bookmarkStart w:id="90" w:name="_Toc1615"/>
      <w:bookmarkStart w:id="91" w:name="_Toc9494"/>
      <w:bookmarkStart w:id="92" w:name="_Toc11667"/>
      <w:bookmarkStart w:id="93" w:name="_Toc27338"/>
      <w:bookmarkStart w:id="94" w:name="_Toc12702"/>
      <w:bookmarkStart w:id="95" w:name="_Toc10422"/>
      <w:r>
        <w:rPr>
          <w:rFonts w:hint="eastAsia" w:ascii="Times New Roman" w:hAnsi="Times New Roman" w:cs="Times New Roman"/>
          <w:b w:val="0"/>
          <w:sz w:val="32"/>
        </w:rPr>
        <w:t>空间发展策略</w:t>
      </w:r>
      <w:bookmarkEnd w:id="89"/>
      <w:bookmarkEnd w:id="90"/>
      <w:bookmarkEnd w:id="91"/>
      <w:bookmarkEnd w:id="92"/>
      <w:bookmarkEnd w:id="93"/>
      <w:bookmarkEnd w:id="94"/>
      <w:bookmarkEnd w:id="95"/>
    </w:p>
    <w:p w14:paraId="186969D7">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96" w:name="_Toc15076"/>
      <w:bookmarkStart w:id="97" w:name="_Toc134453004"/>
      <w:r>
        <w:rPr>
          <w:rFonts w:hint="eastAsia" w:ascii="Times New Roman" w:hAnsi="Times New Roman" w:eastAsia="楷体" w:cs="Times New Roman"/>
          <w:sz w:val="32"/>
          <w:szCs w:val="24"/>
        </w:rPr>
        <w:t xml:space="preserve"> 国土空间开发保护策略</w:t>
      </w:r>
      <w:bookmarkEnd w:id="96"/>
    </w:p>
    <w:p w14:paraId="3258FF04">
      <w:pPr>
        <w:pStyle w:val="32"/>
        <w:ind w:firstLine="640"/>
        <w:rPr>
          <w:rFonts w:eastAsia="楷体" w:cs="仿宋"/>
          <w:color w:val="000000"/>
          <w:kern w:val="0"/>
          <w:szCs w:val="32"/>
          <w:lang w:bidi="ar"/>
        </w:rPr>
      </w:pPr>
      <w:r>
        <w:rPr>
          <w:rFonts w:hint="eastAsia" w:eastAsia="楷体" w:cs="仿宋"/>
          <w:color w:val="000000"/>
          <w:kern w:val="0"/>
          <w:szCs w:val="32"/>
          <w:lang w:bidi="ar"/>
        </w:rPr>
        <w:t>1、实施区域协作、开放发展策略</w:t>
      </w:r>
    </w:p>
    <w:p w14:paraId="139F8ED0">
      <w:pPr>
        <w:pStyle w:val="32"/>
        <w:ind w:firstLine="640"/>
        <w:rPr>
          <w:rFonts w:eastAsia="仿宋GB2312" w:cs="仿宋"/>
          <w:color w:val="000000"/>
          <w:kern w:val="0"/>
          <w:szCs w:val="32"/>
          <w:lang w:bidi="ar"/>
        </w:rPr>
      </w:pPr>
      <w:r>
        <w:rPr>
          <w:rFonts w:hint="eastAsia" w:eastAsia="仿宋GB2312" w:cs="仿宋"/>
          <w:color w:val="000000"/>
          <w:kern w:val="0"/>
          <w:szCs w:val="32"/>
          <w:lang w:bidi="ar"/>
        </w:rPr>
        <w:t>构建内外协同的发展格局，对外强化上集镇与绥化市区、绥棱县城、毗邻乡镇等的互动关联；对内结合全镇各村分布，依托国道333、省道501、县道303等主要对外交通线打造3条绿化美化净化示范线，并在沿线打造一批亮点村屯。</w:t>
      </w:r>
    </w:p>
    <w:p w14:paraId="477A5298">
      <w:pPr>
        <w:pStyle w:val="32"/>
        <w:ind w:firstLine="640"/>
        <w:rPr>
          <w:rFonts w:eastAsia="楷体" w:cs="仿宋"/>
          <w:color w:val="000000"/>
          <w:kern w:val="0"/>
          <w:szCs w:val="32"/>
          <w:lang w:bidi="ar"/>
        </w:rPr>
      </w:pPr>
      <w:r>
        <w:rPr>
          <w:rFonts w:hint="eastAsia" w:eastAsia="楷体" w:cs="仿宋"/>
          <w:color w:val="000000"/>
          <w:kern w:val="0"/>
          <w:szCs w:val="32"/>
          <w:lang w:bidi="ar"/>
        </w:rPr>
        <w:t>2、实施生态优先、绿色发展战略</w:t>
      </w:r>
    </w:p>
    <w:p w14:paraId="0815311C">
      <w:pPr>
        <w:pStyle w:val="32"/>
        <w:ind w:firstLine="640"/>
        <w:rPr>
          <w:rFonts w:eastAsia="仿宋GB2312" w:cs="仿宋"/>
          <w:color w:val="000000"/>
          <w:kern w:val="0"/>
          <w:szCs w:val="32"/>
          <w:lang w:bidi="ar"/>
        </w:rPr>
      </w:pPr>
      <w:r>
        <w:rPr>
          <w:rFonts w:hint="eastAsia" w:eastAsia="仿宋GB2312" w:cs="仿宋"/>
          <w:color w:val="000000"/>
          <w:kern w:val="0"/>
          <w:szCs w:val="32"/>
          <w:lang w:bidi="ar"/>
        </w:rPr>
        <w:t>践行习近平总书记“绿水青山是金山银山，黑龙江的冰天雪地也是金山银山”的发展理念，落实上位规划传导的生态环境保护任务目标，推动生态文明建设。</w:t>
      </w:r>
    </w:p>
    <w:p w14:paraId="69BFE1F5">
      <w:pPr>
        <w:pStyle w:val="32"/>
        <w:ind w:firstLine="640"/>
        <w:rPr>
          <w:rFonts w:eastAsia="楷体" w:cs="仿宋"/>
          <w:color w:val="000000"/>
          <w:kern w:val="0"/>
          <w:szCs w:val="32"/>
          <w:lang w:bidi="ar"/>
        </w:rPr>
      </w:pPr>
      <w:r>
        <w:rPr>
          <w:rFonts w:hint="eastAsia" w:eastAsia="楷体" w:cs="仿宋"/>
          <w:color w:val="000000"/>
          <w:kern w:val="0"/>
          <w:szCs w:val="32"/>
          <w:lang w:bidi="ar"/>
        </w:rPr>
        <w:t>3、实施黑土保护、农业保障策略</w:t>
      </w:r>
    </w:p>
    <w:p w14:paraId="74357C51">
      <w:pPr>
        <w:pStyle w:val="32"/>
        <w:ind w:firstLine="640"/>
        <w:rPr>
          <w:rFonts w:eastAsia="仿宋GB2312" w:cs="仿宋"/>
          <w:color w:val="000000"/>
          <w:kern w:val="0"/>
          <w:szCs w:val="32"/>
          <w:lang w:bidi="ar"/>
        </w:rPr>
      </w:pPr>
      <w:r>
        <w:rPr>
          <w:rFonts w:hint="eastAsia" w:eastAsia="仿宋GB2312" w:cs="仿宋"/>
          <w:color w:val="000000"/>
          <w:kern w:val="0"/>
          <w:szCs w:val="32"/>
          <w:lang w:bidi="ar"/>
        </w:rPr>
        <w:t>坚持耕地数量、质量、生态“三位一体”保护，依托上集镇丰富的黑土资源，以农业安全、绿色发展为导向，落实耕保任务和永久基本农田保护线，推动高标准农田建设，努力提升耕地质量和后备资源，保障粮食生产和绿色农产品供给安全。</w:t>
      </w:r>
    </w:p>
    <w:p w14:paraId="6F2C1689">
      <w:pPr>
        <w:pStyle w:val="32"/>
        <w:ind w:firstLine="640"/>
        <w:rPr>
          <w:rFonts w:eastAsia="楷体" w:cs="仿宋"/>
          <w:color w:val="000000"/>
          <w:kern w:val="0"/>
          <w:szCs w:val="32"/>
          <w:lang w:bidi="ar"/>
        </w:rPr>
      </w:pPr>
      <w:r>
        <w:rPr>
          <w:rFonts w:hint="eastAsia" w:eastAsia="楷体" w:cs="仿宋"/>
          <w:color w:val="000000"/>
          <w:kern w:val="0"/>
          <w:szCs w:val="32"/>
          <w:lang w:bidi="ar"/>
        </w:rPr>
        <w:t>4、实施产业发展、协同集聚策略</w:t>
      </w:r>
    </w:p>
    <w:p w14:paraId="38AE5274">
      <w:pPr>
        <w:pStyle w:val="32"/>
        <w:ind w:firstLine="640"/>
        <w:rPr>
          <w:rFonts w:eastAsia="仿宋GB2312" w:cs="仿宋"/>
          <w:color w:val="000000"/>
          <w:kern w:val="0"/>
          <w:szCs w:val="32"/>
          <w:lang w:bidi="ar"/>
        </w:rPr>
      </w:pPr>
      <w:r>
        <w:rPr>
          <w:rFonts w:hint="eastAsia" w:eastAsia="仿宋GB2312" w:cs="仿宋"/>
          <w:color w:val="000000"/>
          <w:kern w:val="0"/>
          <w:szCs w:val="32"/>
          <w:lang w:bidi="ar"/>
        </w:rPr>
        <w:t>充分发挥优质水稻品牌优势和黑蒜加工产业优势，努力为绥棱县提供更多、更加优质的农产品，保障好绥棱县以及周边镇域绿色食品的供应和安全。围绕优质水稻种植和农产品加工优势主导产业，与靠山乡等周边乡镇共同建设产品互补、上下游配套完整的产业链条。</w:t>
      </w:r>
    </w:p>
    <w:p w14:paraId="4C1E3641">
      <w:pPr>
        <w:pStyle w:val="32"/>
        <w:ind w:firstLine="640"/>
        <w:rPr>
          <w:rFonts w:eastAsia="楷体" w:cs="仿宋"/>
          <w:color w:val="000000"/>
          <w:kern w:val="0"/>
          <w:szCs w:val="32"/>
          <w:lang w:bidi="ar"/>
        </w:rPr>
      </w:pPr>
      <w:r>
        <w:rPr>
          <w:rFonts w:hint="eastAsia" w:eastAsia="楷体" w:cs="仿宋"/>
          <w:color w:val="000000"/>
          <w:kern w:val="0"/>
          <w:szCs w:val="32"/>
          <w:lang w:bidi="ar"/>
        </w:rPr>
        <w:t>5、实施特色引领、品质提升策略</w:t>
      </w:r>
    </w:p>
    <w:p w14:paraId="41087692">
      <w:pPr>
        <w:pStyle w:val="32"/>
        <w:ind w:firstLine="640"/>
        <w:rPr>
          <w:rFonts w:eastAsia="仿宋GB2312" w:cs="仿宋"/>
          <w:color w:val="000000"/>
          <w:kern w:val="0"/>
          <w:szCs w:val="32"/>
          <w:lang w:bidi="ar"/>
        </w:rPr>
      </w:pPr>
      <w:r>
        <w:rPr>
          <w:rFonts w:hint="eastAsia" w:eastAsia="仿宋GB2312" w:cs="仿宋"/>
          <w:color w:val="000000"/>
          <w:kern w:val="0"/>
          <w:szCs w:val="32"/>
          <w:lang w:bidi="ar"/>
        </w:rPr>
        <w:t>以农头工尾、粮头食尾为指引，以“米市集镇、北方蒜业、寒地鹅乡”为建设目标，紧紧围绕振兴大米、大蒜、大鹅“三大”产业，发展加工销售和商贸物流，打造宝田现代农业园区稻田画景观、后腰窝棚庭院经济、南湖党建主题公园、百年古镇特色老街、民族泡菜酿酒体验馆、稻香大蒜特色产业园、天放红色基地、诺敏河水稻产业基地、大兴</w:t>
      </w:r>
      <w:r>
        <w:rPr>
          <w:rFonts w:hint="eastAsia" w:eastAsia="仿宋GB2312" w:cs="仿宋"/>
          <w:color w:val="000000"/>
          <w:kern w:val="0"/>
          <w:szCs w:val="32"/>
          <w:lang w:val="en-US" w:eastAsia="zh-CN" w:bidi="ar"/>
        </w:rPr>
        <w:t>朝鲜族</w:t>
      </w:r>
      <w:r>
        <w:rPr>
          <w:rFonts w:hint="eastAsia" w:eastAsia="仿宋GB2312" w:cs="仿宋"/>
          <w:color w:val="000000"/>
          <w:kern w:val="0"/>
          <w:szCs w:val="32"/>
          <w:lang w:bidi="ar"/>
        </w:rPr>
        <w:t>文化宿营地9个示范点，着力提升镇域空间品质。</w:t>
      </w:r>
    </w:p>
    <w:p w14:paraId="6BE50F11">
      <w:pPr>
        <w:pStyle w:val="32"/>
        <w:ind w:firstLine="640"/>
        <w:rPr>
          <w:rFonts w:eastAsia="楷体" w:cs="仿宋"/>
          <w:color w:val="000000"/>
          <w:kern w:val="0"/>
          <w:szCs w:val="32"/>
          <w:lang w:bidi="ar"/>
        </w:rPr>
      </w:pPr>
      <w:r>
        <w:rPr>
          <w:rFonts w:hint="eastAsia" w:eastAsia="楷体" w:cs="仿宋"/>
          <w:color w:val="000000"/>
          <w:kern w:val="0"/>
          <w:szCs w:val="32"/>
          <w:lang w:bidi="ar"/>
        </w:rPr>
        <w:t>6、实施系统优化、协调发展策略</w:t>
      </w:r>
      <w:bookmarkEnd w:id="97"/>
    </w:p>
    <w:p w14:paraId="51BF8170">
      <w:pPr>
        <w:pStyle w:val="32"/>
        <w:ind w:firstLine="640"/>
        <w:rPr>
          <w:rFonts w:eastAsia="仿宋GB2312" w:cs="仿宋"/>
          <w:color w:val="000000"/>
          <w:kern w:val="0"/>
          <w:szCs w:val="32"/>
          <w:lang w:bidi="ar"/>
        </w:rPr>
      </w:pPr>
      <w:r>
        <w:rPr>
          <w:rFonts w:hint="eastAsia" w:eastAsia="仿宋GB2312" w:cs="仿宋"/>
          <w:color w:val="000000"/>
          <w:kern w:val="0"/>
          <w:szCs w:val="32"/>
          <w:lang w:bidi="ar"/>
        </w:rPr>
        <w:t>坚持山水林田湖草生命共同体，优化资源要素配置。重点改善水域生态功能，加强湿地恢复；优化耕地布局，推动高标准农田建设；开展集中连片造林绿化工程；提升建设用地节约集约利用水平，整治城镇低效用地，优化村庄布局。</w:t>
      </w:r>
    </w:p>
    <w:p w14:paraId="4B272019">
      <w:pPr>
        <w:pStyle w:val="4"/>
        <w:numPr>
          <w:ilvl w:val="1"/>
          <w:numId w:val="2"/>
        </w:numPr>
        <w:spacing w:line="600" w:lineRule="exact"/>
        <w:ind w:firstLine="640" w:firstLineChars="200"/>
        <w:rPr>
          <w:rFonts w:ascii="Times New Roman" w:hAnsi="Times New Roman" w:cs="Times New Roman"/>
          <w:b w:val="0"/>
          <w:sz w:val="32"/>
        </w:rPr>
      </w:pPr>
      <w:bookmarkStart w:id="98" w:name="_Toc28798"/>
      <w:bookmarkStart w:id="99" w:name="_Toc23576"/>
      <w:bookmarkStart w:id="100" w:name="_Toc4601"/>
      <w:bookmarkStart w:id="101" w:name="_Toc3147"/>
      <w:bookmarkStart w:id="102" w:name="_Toc3778"/>
      <w:r>
        <w:rPr>
          <w:rFonts w:hint="eastAsia" w:ascii="Times New Roman" w:hAnsi="Times New Roman" w:cs="Times New Roman"/>
          <w:b w:val="0"/>
          <w:sz w:val="32"/>
        </w:rPr>
        <w:t>指标体系与上位规划落实</w:t>
      </w:r>
      <w:bookmarkEnd w:id="98"/>
      <w:bookmarkEnd w:id="99"/>
      <w:bookmarkEnd w:id="100"/>
      <w:bookmarkEnd w:id="101"/>
      <w:bookmarkEnd w:id="102"/>
    </w:p>
    <w:p w14:paraId="6CAAF5D7">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03" w:name="_Toc25899"/>
      <w:r>
        <w:rPr>
          <w:rFonts w:hint="eastAsia" w:ascii="Times New Roman" w:hAnsi="Times New Roman" w:eastAsia="楷体" w:cs="Times New Roman"/>
          <w:sz w:val="32"/>
          <w:szCs w:val="24"/>
        </w:rPr>
        <w:t xml:space="preserve"> 规划指标体系</w:t>
      </w:r>
      <w:bookmarkEnd w:id="103"/>
    </w:p>
    <w:p w14:paraId="50C3476D">
      <w:pPr>
        <w:pStyle w:val="32"/>
        <w:ind w:firstLine="640"/>
        <w:rPr>
          <w:rFonts w:eastAsia="仿宋GB2312" w:cs="仿宋"/>
          <w:color w:val="000000"/>
          <w:kern w:val="0"/>
          <w:szCs w:val="32"/>
          <w:lang w:bidi="ar"/>
        </w:rPr>
      </w:pPr>
      <w:r>
        <w:rPr>
          <w:rFonts w:hint="eastAsia" w:eastAsia="仿宋GB2312" w:cs="仿宋"/>
          <w:color w:val="000000"/>
          <w:kern w:val="0"/>
          <w:szCs w:val="32"/>
          <w:lang w:bidi="ar"/>
        </w:rPr>
        <w:t>落实国土空间开发保护目标，构建国土空间发展指标体系，从空间底线、空间结构与效率、空间品质三方面落实上位规划的指标要求。</w:t>
      </w:r>
    </w:p>
    <w:p w14:paraId="1F90642E">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04" w:name="_Toc15475"/>
      <w:r>
        <w:rPr>
          <w:rFonts w:hint="eastAsia" w:ascii="Times New Roman" w:hAnsi="Times New Roman" w:eastAsia="楷体" w:cs="Times New Roman"/>
          <w:sz w:val="32"/>
          <w:szCs w:val="24"/>
        </w:rPr>
        <w:t xml:space="preserve"> 上位规划落实</w:t>
      </w:r>
      <w:bookmarkEnd w:id="104"/>
    </w:p>
    <w:p w14:paraId="303F78C3">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1、落实发展定位与规模要求</w:t>
      </w:r>
    </w:p>
    <w:p w14:paraId="5DFEDEF9">
      <w:pPr>
        <w:pStyle w:val="32"/>
        <w:ind w:firstLine="640"/>
        <w:rPr>
          <w:rFonts w:eastAsia="仿宋GB2312" w:cs="仿宋"/>
          <w:color w:val="000000"/>
          <w:kern w:val="0"/>
          <w:szCs w:val="32"/>
          <w:lang w:bidi="ar"/>
        </w:rPr>
      </w:pPr>
      <w:r>
        <w:rPr>
          <w:rFonts w:hint="eastAsia" w:eastAsia="仿宋GB2312" w:cs="仿宋"/>
          <w:color w:val="000000"/>
          <w:kern w:val="0"/>
          <w:szCs w:val="32"/>
          <w:lang w:bidi="ar"/>
        </w:rPr>
        <w:t>明确发展方向与容量。规划至2035年，全镇落实县级总体规划规定的上集镇发展定位，落实县级总体规划制定的0.5-1万常住人口规模、城镇开发边界扩展倍数1.02的要求。</w:t>
      </w:r>
    </w:p>
    <w:p w14:paraId="01C72B4B">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2、落实区域基本控制线要求</w:t>
      </w:r>
    </w:p>
    <w:p w14:paraId="5DFA6E6B">
      <w:pPr>
        <w:pStyle w:val="32"/>
        <w:ind w:firstLine="640"/>
        <w:rPr>
          <w:rFonts w:eastAsia="仿宋GB2312" w:cs="仿宋"/>
          <w:color w:val="000000"/>
          <w:kern w:val="0"/>
          <w:szCs w:val="32"/>
          <w:lang w:bidi="ar"/>
        </w:rPr>
      </w:pPr>
      <w:r>
        <w:rPr>
          <w:rFonts w:hint="eastAsia" w:eastAsia="仿宋GB2312" w:cs="仿宋"/>
          <w:color w:val="000000"/>
          <w:kern w:val="0"/>
          <w:szCs w:val="32"/>
          <w:lang w:bidi="ar"/>
        </w:rPr>
        <w:t>严格底线管控，实施最严格的保护制度。规划至2035年，全镇落实县级总体规划划定的耕地保有量、永久基本农田保护面积和城镇开发边界。</w:t>
      </w:r>
    </w:p>
    <w:p w14:paraId="13D8867A">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3、落实公共服务和基础设施要求</w:t>
      </w:r>
    </w:p>
    <w:p w14:paraId="339615F2">
      <w:pPr>
        <w:pStyle w:val="32"/>
        <w:ind w:firstLine="640"/>
        <w:rPr>
          <w:rFonts w:eastAsia="仿宋GB2312" w:cs="仿宋"/>
          <w:color w:val="000000"/>
          <w:kern w:val="0"/>
          <w:szCs w:val="32"/>
          <w:lang w:bidi="ar"/>
        </w:rPr>
      </w:pPr>
      <w:r>
        <w:rPr>
          <w:rFonts w:hint="eastAsia" w:eastAsia="仿宋GB2312" w:cs="仿宋"/>
          <w:color w:val="000000"/>
          <w:kern w:val="0"/>
          <w:szCs w:val="32"/>
          <w:lang w:bidi="ar"/>
        </w:rPr>
        <w:t>完善区域发展的支撑保障体系。规划至2035年，全镇落实县级总体规划确定的交通建设项目、重要公共服务设施配套标准、城乡品质提升计划等。</w:t>
      </w:r>
    </w:p>
    <w:p w14:paraId="680B14AF">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4、落实国土空间综合整治要求</w:t>
      </w:r>
    </w:p>
    <w:p w14:paraId="6EDF9F61">
      <w:pPr>
        <w:pStyle w:val="32"/>
        <w:ind w:firstLine="640"/>
        <w:rPr>
          <w:rFonts w:eastAsia="仿宋GB2312" w:cs="仿宋"/>
          <w:color w:val="000000"/>
          <w:kern w:val="0"/>
          <w:szCs w:val="32"/>
          <w:lang w:bidi="ar"/>
        </w:rPr>
      </w:pPr>
      <w:r>
        <w:rPr>
          <w:rFonts w:hint="eastAsia" w:eastAsia="仿宋GB2312" w:cs="仿宋"/>
          <w:color w:val="000000"/>
          <w:kern w:val="0"/>
          <w:szCs w:val="32"/>
          <w:lang w:bidi="ar"/>
        </w:rPr>
        <w:t>规划至2035年，落实县域国土空间总体规划综合运用工程措施加强重点地区国土空间整治，进行山水林田湖草系统、湿地与水域生态修复工程。</w:t>
      </w:r>
    </w:p>
    <w:p w14:paraId="31207F28">
      <w:pPr>
        <w:spacing w:line="600" w:lineRule="exact"/>
        <w:ind w:firstLine="632"/>
        <w:rPr>
          <w:rFonts w:hint="eastAsia"/>
          <w:sz w:val="20"/>
          <w:szCs w:val="20"/>
        </w:rPr>
      </w:pPr>
      <w:r>
        <w:rPr>
          <w:rFonts w:hint="eastAsia" w:ascii="方正仿宋_GB2312" w:hAnsi="方正仿宋_GB2312" w:eastAsia="方正仿宋_GB2312" w:cs="方正仿宋_GB2312"/>
          <w:snapToGrid w:val="0"/>
          <w:color w:val="000000"/>
          <w:spacing w:val="-2"/>
          <w:kern w:val="0"/>
          <w:sz w:val="32"/>
          <w:szCs w:val="32"/>
        </w:rPr>
        <w:br w:type="page"/>
      </w:r>
    </w:p>
    <w:p w14:paraId="6387E325">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rPr>
      </w:pPr>
      <w:bookmarkStart w:id="105" w:name="_Toc24273"/>
      <w:bookmarkStart w:id="106" w:name="_Toc30067"/>
      <w:bookmarkStart w:id="107" w:name="_Toc27337"/>
      <w:bookmarkStart w:id="108" w:name="_Toc809"/>
      <w:bookmarkStart w:id="109" w:name="_Toc29263"/>
      <w:bookmarkStart w:id="110" w:name="_Toc26108"/>
      <w:bookmarkStart w:id="111" w:name="_Toc26777"/>
      <w:r>
        <w:rPr>
          <w:rFonts w:hint="eastAsia" w:ascii="Times New Roman" w:hAnsi="Times New Roman" w:eastAsia="方正小标宋简体" w:cs="方正小标宋简体"/>
          <w:b w:val="0"/>
          <w:bCs w:val="0"/>
          <w:sz w:val="36"/>
          <w:szCs w:val="36"/>
        </w:rPr>
        <w:t>国土空间开发保护格局</w:t>
      </w:r>
      <w:bookmarkEnd w:id="105"/>
      <w:bookmarkEnd w:id="106"/>
      <w:bookmarkEnd w:id="107"/>
      <w:bookmarkEnd w:id="108"/>
      <w:bookmarkEnd w:id="109"/>
      <w:bookmarkEnd w:id="110"/>
      <w:bookmarkEnd w:id="111"/>
    </w:p>
    <w:p w14:paraId="70761851">
      <w:pPr>
        <w:pStyle w:val="4"/>
        <w:numPr>
          <w:ilvl w:val="1"/>
          <w:numId w:val="2"/>
        </w:numPr>
        <w:spacing w:line="600" w:lineRule="exact"/>
        <w:ind w:firstLine="640" w:firstLineChars="200"/>
        <w:rPr>
          <w:rFonts w:ascii="Times New Roman" w:hAnsi="Times New Roman" w:cs="Times New Roman"/>
          <w:b w:val="0"/>
          <w:sz w:val="32"/>
        </w:rPr>
      </w:pPr>
      <w:bookmarkStart w:id="112" w:name="_Toc29119"/>
      <w:bookmarkStart w:id="113" w:name="_Toc14748"/>
      <w:bookmarkStart w:id="114" w:name="_Toc9824"/>
      <w:bookmarkStart w:id="115" w:name="_Toc5998"/>
      <w:bookmarkStart w:id="116" w:name="_Toc5629"/>
      <w:bookmarkStart w:id="117" w:name="_Toc5036"/>
      <w:bookmarkStart w:id="118" w:name="_Toc2086"/>
      <w:r>
        <w:rPr>
          <w:rFonts w:hint="eastAsia" w:ascii="Times New Roman" w:hAnsi="Times New Roman" w:cs="Times New Roman"/>
          <w:b w:val="0"/>
          <w:sz w:val="32"/>
        </w:rPr>
        <w:t>区域协调发展格局</w:t>
      </w:r>
      <w:bookmarkEnd w:id="112"/>
      <w:bookmarkEnd w:id="113"/>
      <w:bookmarkEnd w:id="114"/>
      <w:bookmarkEnd w:id="115"/>
      <w:bookmarkEnd w:id="116"/>
    </w:p>
    <w:p w14:paraId="3241913F">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19" w:name="_Toc23697"/>
      <w:bookmarkStart w:id="120" w:name="_Toc14914"/>
      <w:bookmarkStart w:id="121" w:name="_Toc28328"/>
      <w:bookmarkStart w:id="122" w:name="_Toc23135"/>
      <w:bookmarkStart w:id="123" w:name="_Toc20342"/>
      <w:bookmarkStart w:id="124" w:name="_Toc6421"/>
      <w:bookmarkStart w:id="125" w:name="_Toc23924"/>
      <w:r>
        <w:rPr>
          <w:rFonts w:hint="eastAsia" w:ascii="Times New Roman" w:hAnsi="Times New Roman" w:eastAsia="楷体" w:cs="Times New Roman"/>
          <w:sz w:val="32"/>
          <w:szCs w:val="24"/>
        </w:rPr>
        <w:t xml:space="preserve"> 促进与绥棱县的联系，推进村镇高质量发展</w:t>
      </w:r>
      <w:bookmarkEnd w:id="119"/>
      <w:bookmarkEnd w:id="120"/>
      <w:bookmarkEnd w:id="121"/>
      <w:bookmarkEnd w:id="122"/>
      <w:bookmarkEnd w:id="123"/>
      <w:bookmarkEnd w:id="124"/>
      <w:bookmarkEnd w:id="125"/>
    </w:p>
    <w:p w14:paraId="0778D20C">
      <w:pPr>
        <w:widowControl/>
        <w:ind w:firstLine="640"/>
        <w:jc w:val="left"/>
        <w:rPr>
          <w:rFonts w:eastAsia="仿宋GB2312"/>
          <w:color w:val="000000"/>
          <w:kern w:val="0"/>
          <w:sz w:val="32"/>
          <w:szCs w:val="32"/>
          <w:lang w:bidi="ar"/>
        </w:rPr>
      </w:pPr>
      <w:r>
        <w:rPr>
          <w:rFonts w:hint="eastAsia" w:ascii="Times New Roman" w:hAnsi="Times New Roman" w:eastAsia="仿宋GB2312"/>
          <w:color w:val="000000"/>
          <w:kern w:val="0"/>
          <w:sz w:val="32"/>
          <w:szCs w:val="32"/>
          <w:lang w:bidi="ar"/>
        </w:rPr>
        <w:t>上集镇地处绥棱县东南部，其乡镇规模较大、交通区位优越，应加强同绥棱县的合作，规划完善上集镇的生活区、产业区建设，全力打造上集镇为重要的农林产业和产品生产加工基地，县域经济和特色优势产业发展的核心区，承接周边农业人口和林业生态人口转移的集中区，建设成高品质县域副中心。</w:t>
      </w:r>
    </w:p>
    <w:p w14:paraId="34A83C36">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26" w:name="_Toc30350"/>
      <w:bookmarkStart w:id="127" w:name="_Toc11921"/>
      <w:bookmarkStart w:id="128" w:name="_Toc11110"/>
      <w:bookmarkStart w:id="129" w:name="_Toc3758"/>
      <w:bookmarkStart w:id="130" w:name="_Toc14035"/>
      <w:bookmarkStart w:id="131" w:name="_Toc29397"/>
      <w:bookmarkStart w:id="132" w:name="_Toc32448"/>
      <w:r>
        <w:rPr>
          <w:rFonts w:hint="eastAsia" w:ascii="Times New Roman" w:hAnsi="Times New Roman" w:eastAsia="楷体" w:cs="Times New Roman"/>
          <w:sz w:val="32"/>
          <w:szCs w:val="24"/>
        </w:rPr>
        <w:t xml:space="preserve"> 联通周边地区进行协调发展</w:t>
      </w:r>
      <w:bookmarkEnd w:id="126"/>
      <w:bookmarkEnd w:id="127"/>
      <w:bookmarkEnd w:id="128"/>
      <w:bookmarkEnd w:id="129"/>
      <w:bookmarkEnd w:id="130"/>
      <w:bookmarkEnd w:id="131"/>
      <w:bookmarkEnd w:id="132"/>
    </w:p>
    <w:p w14:paraId="2192D697">
      <w:pPr>
        <w:pStyle w:val="32"/>
        <w:ind w:firstLine="640"/>
        <w:rPr>
          <w:rFonts w:eastAsia="仿宋GB2312" w:cs="仿宋"/>
          <w:color w:val="000000"/>
          <w:kern w:val="0"/>
          <w:szCs w:val="32"/>
          <w:lang w:bidi="ar"/>
        </w:rPr>
      </w:pPr>
      <w:r>
        <w:rPr>
          <w:rFonts w:hint="eastAsia" w:eastAsia="仿宋GB2312" w:cs="仿宋"/>
          <w:color w:val="000000"/>
          <w:kern w:val="0"/>
          <w:szCs w:val="32"/>
          <w:lang w:bidi="ar"/>
        </w:rPr>
        <w:t>根据《绥棱县国土空间总体规划 （2021—2035 年）》，着重发展上集镇水稻生产、农产品加工、特色旅游优势，应加强与绥化市北林区、庆安县的关联，推进与绥棱县阁山镇、长山镇等周边乡镇的协作。</w:t>
      </w:r>
    </w:p>
    <w:p w14:paraId="22065971">
      <w:pPr>
        <w:pStyle w:val="32"/>
        <w:ind w:firstLine="640"/>
        <w:rPr>
          <w:rFonts w:eastAsia="仿宋GB2312" w:cs="仿宋"/>
          <w:color w:val="000000"/>
          <w:kern w:val="0"/>
          <w:szCs w:val="32"/>
          <w:lang w:bidi="ar"/>
        </w:rPr>
      </w:pPr>
      <w:r>
        <w:rPr>
          <w:rFonts w:hint="eastAsia" w:eastAsia="仿宋GB2312" w:cs="仿宋"/>
          <w:color w:val="000000"/>
          <w:kern w:val="0"/>
          <w:szCs w:val="32"/>
          <w:lang w:bidi="ar"/>
        </w:rPr>
        <w:t>在资源保护利用方面，与周边乡镇建立跨区域的合作机制，共同制定资源保护计划和政策。以签订合作协议的方式，明确双方的责任和义务，以及确定共同的目标和行动方案。同时加强信息交流与共享，包括资源状况、保护措施、监测数据等。通过信息共享，可以更好地了解周边地区的资源保护情况，及时发现和解决问题。</w:t>
      </w:r>
    </w:p>
    <w:p w14:paraId="62E34AFD">
      <w:pPr>
        <w:pStyle w:val="32"/>
        <w:ind w:firstLine="640"/>
        <w:rPr>
          <w:rFonts w:eastAsia="仿宋GB2312" w:cs="仿宋"/>
          <w:color w:val="000000"/>
          <w:kern w:val="0"/>
          <w:szCs w:val="32"/>
          <w:lang w:bidi="ar"/>
        </w:rPr>
      </w:pPr>
      <w:r>
        <w:rPr>
          <w:rFonts w:hint="eastAsia" w:eastAsia="仿宋GB2312" w:cs="仿宋"/>
          <w:color w:val="000000"/>
          <w:kern w:val="0"/>
          <w:szCs w:val="32"/>
          <w:lang w:bidi="ar"/>
        </w:rPr>
        <w:t>在生态环境治理方面，优化区域生态环境协同治理模式。发挥生态环境协同治理的最大效益，创新和优化协同治理模式，构建区域生态环境应急预警与响应体系，逐步实现生态环境监管责任一体化、信息公开与一体化。同时，根据周围乡镇产业发展特征、环境治理水平等现实条件统筹规划，循序渐进降低周围乡镇环境治理差异。</w:t>
      </w:r>
    </w:p>
    <w:p w14:paraId="2B652A5F">
      <w:pPr>
        <w:pStyle w:val="32"/>
        <w:ind w:firstLine="640"/>
        <w:rPr>
          <w:rFonts w:eastAsia="仿宋GB2312" w:cs="仿宋"/>
          <w:color w:val="000000"/>
          <w:kern w:val="0"/>
          <w:szCs w:val="32"/>
          <w:lang w:bidi="ar"/>
        </w:rPr>
      </w:pPr>
      <w:r>
        <w:rPr>
          <w:rFonts w:hint="eastAsia" w:eastAsia="仿宋GB2312" w:cs="仿宋"/>
          <w:color w:val="000000"/>
          <w:kern w:val="0"/>
          <w:szCs w:val="32"/>
          <w:lang w:bidi="ar"/>
        </w:rPr>
        <w:t>在产业互补协作方面，首先需要深入了解上集镇和周边乡镇的产业特点、资源优势和劣势，通过对比分析，找出各自的优势产业和潜在的合作点。其次根据周围乡镇的产业特点，实施产业互补策略，通过互补形成完整的产业链，提高整体经济效益。最后通过整合上集镇和周围乡镇的优势资源，共同打造特色品牌，提升产品的市场竞争力。</w:t>
      </w:r>
    </w:p>
    <w:bookmarkEnd w:id="117"/>
    <w:bookmarkEnd w:id="118"/>
    <w:p w14:paraId="7DA76531">
      <w:pPr>
        <w:pStyle w:val="4"/>
        <w:numPr>
          <w:ilvl w:val="1"/>
          <w:numId w:val="2"/>
        </w:numPr>
        <w:spacing w:line="600" w:lineRule="exact"/>
        <w:ind w:firstLine="640" w:firstLineChars="200"/>
        <w:rPr>
          <w:rFonts w:ascii="Times New Roman" w:hAnsi="Times New Roman" w:cs="Times New Roman"/>
          <w:b w:val="0"/>
          <w:sz w:val="32"/>
        </w:rPr>
      </w:pPr>
      <w:bookmarkStart w:id="133" w:name="_Toc6352"/>
      <w:bookmarkStart w:id="134" w:name="_Toc20803"/>
      <w:bookmarkStart w:id="135" w:name="_Toc13998"/>
      <w:bookmarkStart w:id="136" w:name="_Toc285"/>
      <w:bookmarkStart w:id="137" w:name="_Toc11368"/>
      <w:r>
        <w:rPr>
          <w:rFonts w:hint="eastAsia" w:ascii="Times New Roman" w:hAnsi="Times New Roman" w:cs="Times New Roman"/>
          <w:b w:val="0"/>
          <w:sz w:val="32"/>
        </w:rPr>
        <w:t>落实三条控制线</w:t>
      </w:r>
      <w:bookmarkEnd w:id="133"/>
      <w:bookmarkEnd w:id="134"/>
      <w:bookmarkEnd w:id="135"/>
      <w:bookmarkEnd w:id="136"/>
      <w:bookmarkEnd w:id="137"/>
    </w:p>
    <w:p w14:paraId="58C91A28">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38" w:name="_Toc10771"/>
      <w:r>
        <w:rPr>
          <w:rFonts w:hint="eastAsia" w:ascii="Times New Roman" w:hAnsi="Times New Roman" w:eastAsia="楷体" w:cs="Times New Roman"/>
          <w:sz w:val="32"/>
          <w:szCs w:val="24"/>
        </w:rPr>
        <w:t xml:space="preserve"> 耕地和永久基本农田</w:t>
      </w:r>
      <w:bookmarkEnd w:id="138"/>
    </w:p>
    <w:p w14:paraId="51F5E9A8">
      <w:pPr>
        <w:pStyle w:val="29"/>
        <w:spacing w:line="600" w:lineRule="exact"/>
        <w:ind w:firstLine="640" w:firstLineChars="200"/>
        <w:rPr>
          <w:rFonts w:hint="eastAsia" w:ascii="楷体" w:hAnsi="楷体" w:eastAsia="楷体" w:cs="楷体"/>
          <w:sz w:val="32"/>
          <w:szCs w:val="22"/>
        </w:rPr>
      </w:pPr>
      <w:bookmarkStart w:id="139" w:name="_Toc11257"/>
      <w:bookmarkStart w:id="140" w:name="_Toc15174"/>
      <w:bookmarkStart w:id="141" w:name="_Toc12648"/>
      <w:bookmarkStart w:id="142" w:name="_Toc2094612685"/>
      <w:bookmarkStart w:id="143" w:name="_Toc6607"/>
      <w:bookmarkStart w:id="144" w:name="_Toc12378"/>
      <w:bookmarkStart w:id="145" w:name="_Toc32098"/>
      <w:bookmarkStart w:id="146" w:name="_Toc25761"/>
      <w:r>
        <w:rPr>
          <w:rFonts w:hint="eastAsia" w:ascii="楷体" w:hAnsi="楷体" w:eastAsia="楷体" w:cs="楷体"/>
          <w:sz w:val="32"/>
          <w:szCs w:val="22"/>
        </w:rPr>
        <w:t>1、保护目标</w:t>
      </w:r>
    </w:p>
    <w:p w14:paraId="17D9BD6A">
      <w:pPr>
        <w:pStyle w:val="32"/>
        <w:ind w:firstLine="640"/>
        <w:rPr>
          <w:rFonts w:eastAsia="仿宋GB2312" w:cs="仿宋"/>
          <w:color w:val="000000"/>
          <w:kern w:val="0"/>
          <w:szCs w:val="32"/>
          <w:u w:val="single"/>
          <w:lang w:bidi="ar"/>
        </w:rPr>
      </w:pPr>
      <w:bookmarkStart w:id="147" w:name="_Hlk150886132"/>
      <w:r>
        <w:rPr>
          <w:rFonts w:hint="eastAsia" w:eastAsia="仿宋GB2312" w:cs="仿宋"/>
          <w:color w:val="000000"/>
          <w:kern w:val="0"/>
          <w:szCs w:val="32"/>
          <w:u w:val="single"/>
          <w:lang w:bidi="ar"/>
        </w:rPr>
        <w:t>规划至2035年，全镇落实不低于</w:t>
      </w:r>
      <w:bookmarkStart w:id="148" w:name="_Hlk150881647"/>
      <w:r>
        <w:rPr>
          <w:rFonts w:hint="eastAsia" w:eastAsia="仿宋GB2312" w:cs="仿宋"/>
          <w:color w:val="000000"/>
          <w:kern w:val="0"/>
          <w:szCs w:val="32"/>
          <w:u w:val="single"/>
          <w:lang w:bidi="ar"/>
        </w:rPr>
        <w:t>9792.46公顷的耕地</w:t>
      </w:r>
      <w:bookmarkEnd w:id="148"/>
      <w:r>
        <w:rPr>
          <w:rFonts w:hint="eastAsia" w:eastAsia="仿宋GB2312" w:cs="仿宋"/>
          <w:color w:val="000000"/>
          <w:kern w:val="0"/>
          <w:szCs w:val="32"/>
          <w:u w:val="single"/>
          <w:lang w:bidi="ar"/>
        </w:rPr>
        <w:t>保有量和不低于9183.49公顷的永久基本农田保护面积。</w:t>
      </w:r>
    </w:p>
    <w:bookmarkEnd w:id="147"/>
    <w:p w14:paraId="54463BBC">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2、管控要求</w:t>
      </w:r>
    </w:p>
    <w:p w14:paraId="21CE0A8B">
      <w:pPr>
        <w:pStyle w:val="32"/>
        <w:ind w:firstLine="640"/>
        <w:rPr>
          <w:rFonts w:eastAsia="仿宋GB2312" w:cs="仿宋"/>
          <w:color w:val="000000"/>
          <w:kern w:val="0"/>
          <w:szCs w:val="32"/>
          <w:lang w:bidi="ar"/>
        </w:rPr>
      </w:pPr>
      <w:r>
        <w:rPr>
          <w:rFonts w:hint="eastAsia" w:eastAsia="仿宋GB2312" w:cs="仿宋"/>
          <w:color w:val="000000"/>
          <w:kern w:val="0"/>
          <w:szCs w:val="32"/>
          <w:lang w:bidi="ar"/>
        </w:rPr>
        <w:t>耕地和永久基本农田一经划定，未经批准不得擅自调整。落实最严格的耕地保护制度，强化粮食基本保障能力，坚决遏制耕地“非农化”、防止耕地“非粮化”，守住耕地保护红线。严格落实耕地用途管制，落实耕地占补平衡和年度进出平衡。优先保护城镇周边永久基本农田和优质耕地，稳妥有序恢复流向其他农用地的耕地。</w:t>
      </w:r>
    </w:p>
    <w:p w14:paraId="0AD35BDC">
      <w:pPr>
        <w:pStyle w:val="32"/>
        <w:ind w:firstLine="640"/>
        <w:rPr>
          <w:rFonts w:eastAsia="仿宋GB2312" w:cs="仿宋"/>
          <w:color w:val="000000"/>
          <w:kern w:val="0"/>
          <w:szCs w:val="32"/>
          <w:lang w:bidi="ar"/>
        </w:rPr>
      </w:pPr>
    </w:p>
    <w:tbl>
      <w:tblPr>
        <w:tblStyle w:val="18"/>
        <w:tblW w:w="4913" w:type="pct"/>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0" w:type="dxa"/>
          <w:left w:w="108" w:type="dxa"/>
          <w:bottom w:w="0" w:type="dxa"/>
          <w:right w:w="108" w:type="dxa"/>
        </w:tblCellMar>
      </w:tblPr>
      <w:tblGrid>
        <w:gridCol w:w="776"/>
        <w:gridCol w:w="7372"/>
      </w:tblGrid>
      <w:tr w14:paraId="3816B56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5000" w:type="pct"/>
            <w:gridSpan w:val="2"/>
            <w:vAlign w:val="center"/>
          </w:tcPr>
          <w:p w14:paraId="6D12454B">
            <w:pPr>
              <w:pStyle w:val="38"/>
              <w:spacing w:line="600" w:lineRule="exact"/>
              <w:ind w:firstLine="600"/>
              <w:rPr>
                <w:color w:val="auto"/>
                <w:sz w:val="21"/>
                <w:szCs w:val="16"/>
              </w:rPr>
            </w:pPr>
            <w:r>
              <w:rPr>
                <w:rFonts w:hint="eastAsia" w:ascii="黑体" w:hAnsi="黑体" w:eastAsia="黑体" w:cs="黑体"/>
                <w:b w:val="0"/>
                <w:bCs/>
                <w:color w:val="auto"/>
                <w:szCs w:val="30"/>
              </w:rPr>
              <w:t>专栏</w:t>
            </w:r>
            <w:r>
              <w:rPr>
                <w:rFonts w:hint="eastAsia" w:eastAsia="黑体" w:cs="黑体"/>
                <w:b w:val="0"/>
                <w:bCs/>
                <w:color w:val="auto"/>
                <w:szCs w:val="30"/>
              </w:rPr>
              <w:t>1</w:t>
            </w:r>
            <w:r>
              <w:rPr>
                <w:rFonts w:hint="eastAsia" w:ascii="黑体" w:hAnsi="黑体" w:eastAsia="黑体" w:cs="黑体"/>
                <w:b w:val="0"/>
                <w:bCs/>
                <w:color w:val="auto"/>
                <w:szCs w:val="30"/>
              </w:rPr>
              <w:t xml:space="preserve"> 耕地和永久基本农田保护红线管控规则</w:t>
            </w:r>
          </w:p>
        </w:tc>
      </w:tr>
      <w:tr w14:paraId="7047EDE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476" w:type="pct"/>
            <w:vAlign w:val="center"/>
          </w:tcPr>
          <w:p w14:paraId="46DD4746">
            <w:pPr>
              <w:widowControl/>
              <w:ind w:firstLine="0" w:firstLineChars="0"/>
              <w:jc w:val="center"/>
              <w:rPr>
                <w:rFonts w:hint="eastAsia"/>
              </w:rPr>
            </w:pPr>
            <w:r>
              <w:rPr>
                <w:rFonts w:ascii="仿宋_GB2312" w:hAnsi="宋体" w:eastAsia="仿宋_GB2312" w:cs="仿宋_GB2312"/>
                <w:color w:val="000000"/>
                <w:kern w:val="0"/>
                <w:sz w:val="24"/>
                <w:szCs w:val="24"/>
                <w:lang w:bidi="ar"/>
              </w:rPr>
              <w:t>耕地</w:t>
            </w:r>
          </w:p>
          <w:p w14:paraId="0256BA26">
            <w:pPr>
              <w:pStyle w:val="39"/>
              <w:spacing w:line="500" w:lineRule="exact"/>
              <w:ind w:firstLine="480"/>
              <w:jc w:val="center"/>
              <w:rPr>
                <w:rFonts w:eastAsia="仿宋GB2312"/>
                <w:color w:val="000000"/>
                <w:kern w:val="0"/>
                <w:sz w:val="24"/>
                <w:szCs w:val="24"/>
                <w:lang w:bidi="ar"/>
              </w:rPr>
            </w:pPr>
          </w:p>
        </w:tc>
        <w:tc>
          <w:tcPr>
            <w:tcW w:w="4523" w:type="pct"/>
            <w:vAlign w:val="center"/>
          </w:tcPr>
          <w:p w14:paraId="2366D6C1">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国家对耕地实施特殊保护，严格控制耕地转为林地、草地、园地等其他农用地，并建立耕地保护补偿制度。 </w:t>
            </w:r>
          </w:p>
          <w:p w14:paraId="51825EA4">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非农业建设经批准占用耕地的，按照“占多少，垦多少”的原则， </w:t>
            </w:r>
          </w:p>
          <w:p w14:paraId="78B315C3">
            <w:pPr>
              <w:pStyle w:val="39"/>
              <w:spacing w:line="240" w:lineRule="auto"/>
              <w:ind w:firstLine="0" w:firstLineChars="0"/>
              <w:rPr>
                <w:rFonts w:eastAsia="仿宋GB2312"/>
                <w:color w:val="000000"/>
                <w:kern w:val="0"/>
                <w:sz w:val="24"/>
                <w:szCs w:val="24"/>
                <w:lang w:bidi="ar"/>
              </w:rPr>
            </w:pPr>
            <w:r>
              <w:rPr>
                <w:rFonts w:hint="eastAsia" w:eastAsia="仿宋GB2312"/>
                <w:color w:val="000000"/>
                <w:kern w:val="0"/>
                <w:sz w:val="24"/>
                <w:szCs w:val="24"/>
                <w:lang w:bidi="ar"/>
              </w:rPr>
              <w:t xml:space="preserve">由占用耕地的单位负责开垦与所占用耕地的数量相等、质量相当的耕地；没有条件开垦或者开垦的耕地不符合要求的，应当按照规定缴纳耕地开垦费，专款用于开垦新的耕地。 </w:t>
            </w:r>
          </w:p>
          <w:p w14:paraId="1FBA59A2">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对耕地转为其他农用地及农业设施建设用地实行年度进出平衡，即除国家安排退耕还林还草、自然灾害损毁难以复耕、河湖水面自然扩大造成耕地永久淹没外，耕地转为林地、草地、园地等其他农用地及农业设施建设用地的，应当通过统筹林地、草地、园地等其他农用地及农业 耕地设施建设用地整治为耕地等方式，补足同等数量、质量的可以长期稳定利用的耕地。 </w:t>
            </w:r>
          </w:p>
          <w:p w14:paraId="617D04A1">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严格执行县级国土空间总体规划，采取措施，确保国土空间总体规划确定的行政区域内耕地总量不减少、质量不降低。耕地总量减少的，须在规定期限内组织开垦与所减少耕地的数量与质量相当的耕地；耕地质量降低的，须在规定期限内组织整治。新开垦和整治的耕地由自然资源主管部门会同农业农村主管部门验收。 </w:t>
            </w:r>
          </w:p>
          <w:p w14:paraId="20B5B0AC">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非农建设必须节约使用土地，可以利用荒地的，不得占用耕地；可以利用劣地的，不得占用好地。禁止占用耕地建窑、建坟或者擅自在耕地上建房、挖砂、采石、采矿、取土等。</w:t>
            </w:r>
          </w:p>
          <w:p w14:paraId="00A979A5">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禁止任何单位和个人闲置、荒芜耕地。已经办理审批手续的非农业建设占用耕地，一年内不用而又可以耕种并收获的，应当由原耕种该幅耕地的集体或者个人恢复耕种，也可以由用地单位组织耕种；一年以上未动工建设的，应当按照规定缴纳闲置费；连续二年未使用的，经原批准机关批准，由县级以上人民政府无偿收回用地单位的土地使用权，该幅土地原为农民集体所有的，应当交由原农村集体经济组织恢复耕种。 </w:t>
            </w:r>
          </w:p>
          <w:p w14:paraId="689C7DDD">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禁止任何单位和个人在国土空间总体规划确定的禁止开垦的范围内从事土地开发活动。</w:t>
            </w:r>
          </w:p>
        </w:tc>
      </w:tr>
      <w:tr w14:paraId="5F3BC1A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476" w:type="pct"/>
            <w:vAlign w:val="center"/>
          </w:tcPr>
          <w:p w14:paraId="3AC9B809">
            <w:pPr>
              <w:pStyle w:val="39"/>
              <w:spacing w:line="500" w:lineRule="exact"/>
              <w:ind w:firstLine="0" w:firstLineChars="0"/>
              <w:jc w:val="center"/>
              <w:rPr>
                <w:rFonts w:eastAsia="仿宋GB2312"/>
                <w:color w:val="000000"/>
                <w:kern w:val="0"/>
                <w:sz w:val="24"/>
                <w:szCs w:val="24"/>
                <w:lang w:bidi="ar"/>
              </w:rPr>
            </w:pPr>
            <w:bookmarkStart w:id="149" w:name="_Toc4973"/>
            <w:r>
              <w:rPr>
                <w:rFonts w:hint="eastAsia" w:eastAsia="仿宋GB2312"/>
                <w:color w:val="000000"/>
                <w:kern w:val="0"/>
                <w:sz w:val="24"/>
                <w:szCs w:val="24"/>
                <w:lang w:bidi="ar"/>
              </w:rPr>
              <w:t>永久基本农田</w:t>
            </w:r>
          </w:p>
        </w:tc>
        <w:tc>
          <w:tcPr>
            <w:tcW w:w="4523" w:type="pct"/>
            <w:vAlign w:val="center"/>
          </w:tcPr>
          <w:p w14:paraId="64BA00D0">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永久基本农田不得转为林地、草地、园地等其他农用地及农业设施建设用地。严禁占用永久基本农田发展林果业和挖塘养鱼；严禁占用永久基本农田种植苗木、草皮等用于绿化装饰以及其他破坏耕作层的植物； </w:t>
            </w:r>
          </w:p>
          <w:p w14:paraId="22907567">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严禁占用永久基本农田挖湖造景、建设绿化带；严禁新增占用永久基本农田建设畜禽养殖设施、水产养殖设施和破坏耕作层的种植业设施。禁止闲置、荒芜、破坏永久基本农田行为。 </w:t>
            </w:r>
          </w:p>
          <w:p w14:paraId="2F4F15ED">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严格永久基本农田占用和补划。永久基本农田经依法划定后，任何单位和个人不得擅自占用或者改变其用途。国家能源、交通、水利、军事设施等重点项目确实难以避让永久基本农田的，涉及农用地转用或者土地征收的，必须经过国务院批准。一般建设项目不得占用永久基本农田；重大建设项目选址确实难以避让永久基本农田的，要按照“数量不 减、质量不降、布局稳定”的要求，在储备区内选择数量相等、质量相当的地块进行补划。非农建设依法占用永久基本农田的，建设单位应当将所占用耕地耕作层的土壤用于新开垦的耕地、劣质地或其他耕地的土壤改良。</w:t>
            </w:r>
          </w:p>
        </w:tc>
      </w:tr>
    </w:tbl>
    <w:p w14:paraId="25BA6840">
      <w:pPr>
        <w:keepNext/>
        <w:keepLines/>
        <w:numPr>
          <w:ilvl w:val="2"/>
          <w:numId w:val="2"/>
        </w:numPr>
        <w:spacing w:line="600" w:lineRule="exact"/>
        <w:ind w:firstLineChars="0"/>
        <w:jc w:val="left"/>
        <w:outlineLvl w:val="2"/>
        <w:rPr>
          <w:rFonts w:ascii="Times New Roman" w:hAnsi="Times New Roman" w:eastAsia="楷体" w:cs="Times New Roman"/>
          <w:sz w:val="32"/>
          <w:szCs w:val="24"/>
        </w:rPr>
      </w:pPr>
      <w:r>
        <w:rPr>
          <w:rFonts w:hint="eastAsia" w:ascii="Times New Roman" w:hAnsi="Times New Roman" w:eastAsia="楷体" w:cs="Times New Roman"/>
          <w:sz w:val="32"/>
          <w:szCs w:val="24"/>
        </w:rPr>
        <w:t xml:space="preserve"> 生态保护红线</w:t>
      </w:r>
      <w:bookmarkEnd w:id="149"/>
    </w:p>
    <w:p w14:paraId="49B4D97C">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1、保护目标</w:t>
      </w:r>
    </w:p>
    <w:p w14:paraId="1FE8E3CD">
      <w:pPr>
        <w:pStyle w:val="32"/>
        <w:ind w:firstLine="640"/>
        <w:rPr>
          <w:rFonts w:eastAsia="仿宋GB2312" w:cs="仿宋"/>
          <w:color w:val="000000"/>
          <w:kern w:val="0"/>
          <w:szCs w:val="32"/>
          <w:lang w:bidi="ar"/>
        </w:rPr>
      </w:pPr>
      <w:r>
        <w:rPr>
          <w:rFonts w:hint="eastAsia" w:eastAsia="仿宋GB2312" w:cs="仿宋"/>
          <w:color w:val="000000"/>
          <w:kern w:val="0"/>
          <w:szCs w:val="32"/>
          <w:lang w:bidi="ar"/>
        </w:rPr>
        <w:t>落实生态保护红线。将整合优化后的自然保护地，生态功能极重要、生态极脆弱区域，以及目前基本没有人类活动、具有潜在重要生态价值的生态空间划入生态保护红线。目前上集镇镇域无生态保护红线。</w:t>
      </w:r>
    </w:p>
    <w:p w14:paraId="4928F3F0">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50" w:name="_Toc6266"/>
      <w:r>
        <w:rPr>
          <w:rFonts w:hint="eastAsia" w:ascii="Times New Roman" w:hAnsi="Times New Roman" w:eastAsia="楷体" w:cs="Times New Roman"/>
          <w:sz w:val="32"/>
          <w:szCs w:val="24"/>
        </w:rPr>
        <w:t xml:space="preserve"> 城镇开发边界</w:t>
      </w:r>
      <w:bookmarkEnd w:id="150"/>
    </w:p>
    <w:p w14:paraId="55492703">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1、保护目标</w:t>
      </w:r>
    </w:p>
    <w:p w14:paraId="2D483E6B">
      <w:pPr>
        <w:pStyle w:val="32"/>
        <w:ind w:firstLine="640"/>
        <w:rPr>
          <w:rFonts w:eastAsia="仿宋GB2312" w:cs="仿宋"/>
          <w:color w:val="000000"/>
          <w:kern w:val="0"/>
          <w:szCs w:val="32"/>
          <w:u w:val="single"/>
          <w:lang w:bidi="ar"/>
        </w:rPr>
      </w:pPr>
      <w:r>
        <w:rPr>
          <w:rFonts w:hint="eastAsia" w:eastAsia="仿宋GB2312" w:cs="仿宋"/>
          <w:color w:val="000000"/>
          <w:kern w:val="0"/>
          <w:szCs w:val="32"/>
          <w:u w:val="single"/>
          <w:lang w:bidi="ar"/>
        </w:rPr>
        <w:t>落实上位传导的城镇开发边界，在优先划定耕地和永久基本农田、生态保护红线的基础上，避让自然灾害高风险区域，结合人口变化趋势和存量建设用地状况，合理划定城镇开发边界。规划至2035年，上集城镇开发边界面积为171.0</w:t>
      </w:r>
      <w:r>
        <w:rPr>
          <w:rFonts w:hint="eastAsia" w:cs="仿宋" w:asciiTheme="minorEastAsia" w:hAnsiTheme="minorEastAsia" w:eastAsiaTheme="minorEastAsia"/>
          <w:color w:val="000000"/>
          <w:kern w:val="0"/>
          <w:szCs w:val="32"/>
          <w:u w:val="single"/>
          <w:lang w:bidi="ar"/>
        </w:rPr>
        <w:t>1</w:t>
      </w:r>
      <w:r>
        <w:rPr>
          <w:rFonts w:hint="eastAsia" w:eastAsia="仿宋GB2312" w:cs="仿宋"/>
          <w:color w:val="000000"/>
          <w:kern w:val="0"/>
          <w:szCs w:val="32"/>
          <w:u w:val="single"/>
          <w:lang w:bidi="ar"/>
        </w:rPr>
        <w:t>公顷。</w:t>
      </w:r>
    </w:p>
    <w:p w14:paraId="083321BC">
      <w:pPr>
        <w:pStyle w:val="29"/>
        <w:spacing w:line="600" w:lineRule="exact"/>
        <w:ind w:firstLine="640" w:firstLineChars="200"/>
        <w:rPr>
          <w:rFonts w:hint="eastAsia" w:ascii="楷体" w:hAnsi="楷体" w:eastAsia="楷体" w:cs="楷体"/>
          <w:sz w:val="32"/>
          <w:szCs w:val="22"/>
        </w:rPr>
      </w:pPr>
      <w:r>
        <w:rPr>
          <w:rFonts w:hint="eastAsia" w:ascii="楷体" w:hAnsi="楷体" w:eastAsia="楷体" w:cs="楷体"/>
          <w:sz w:val="32"/>
          <w:szCs w:val="22"/>
        </w:rPr>
        <w:t>2、管控要求</w:t>
      </w:r>
    </w:p>
    <w:p w14:paraId="4FD6C6A0">
      <w:pPr>
        <w:pStyle w:val="32"/>
        <w:ind w:firstLine="640"/>
        <w:rPr>
          <w:rFonts w:eastAsia="仿宋GB2312" w:cs="仿宋"/>
          <w:color w:val="000000"/>
          <w:kern w:val="0"/>
          <w:szCs w:val="32"/>
          <w:lang w:bidi="ar"/>
        </w:rPr>
      </w:pPr>
      <w:r>
        <w:rPr>
          <w:rFonts w:hint="eastAsia" w:eastAsia="仿宋GB2312" w:cs="仿宋"/>
          <w:color w:val="000000"/>
          <w:kern w:val="0"/>
          <w:szCs w:val="32"/>
          <w:lang w:bidi="ar"/>
        </w:rPr>
        <w:t>城镇开发边界一经划定，原则上不得调整。因国家重大战略调整、国家重大项目建设、行政区划调整等确需调整的，依法依规按程序进行。为体现规划战略引领，提升土地节约集约利用水平，在不增加开发边界规模的前提下，通过城乡建设用地增减挂钩和空间腾挪的形式，对城镇开发边界内“开天窗”区域和破碎边界区域进行织补，引导城镇空间合理布局，保障基础设施建设的有序开展。</w:t>
      </w:r>
    </w:p>
    <w:p w14:paraId="5610D48C">
      <w:pPr>
        <w:pStyle w:val="32"/>
        <w:ind w:firstLine="640"/>
        <w:rPr>
          <w:rFonts w:eastAsia="仿宋GB2312" w:cs="仿宋"/>
          <w:color w:val="000000"/>
          <w:kern w:val="0"/>
          <w:szCs w:val="32"/>
          <w:lang w:bidi="ar"/>
        </w:rPr>
      </w:pPr>
    </w:p>
    <w:tbl>
      <w:tblPr>
        <w:tblStyle w:val="18"/>
        <w:tblW w:w="8296"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8296"/>
      </w:tblGrid>
      <w:tr w14:paraId="231E638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Ex>
        <w:tc>
          <w:tcPr>
            <w:tcW w:w="8296" w:type="dxa"/>
            <w:vAlign w:val="center"/>
          </w:tcPr>
          <w:p w14:paraId="52719020">
            <w:pPr>
              <w:pStyle w:val="38"/>
              <w:spacing w:line="600" w:lineRule="exact"/>
              <w:rPr>
                <w:color w:val="auto"/>
                <w:sz w:val="21"/>
                <w:szCs w:val="16"/>
              </w:rPr>
            </w:pPr>
            <w:r>
              <w:rPr>
                <w:rFonts w:hint="eastAsia" w:eastAsia="黑体" w:cs="黑体"/>
                <w:b w:val="0"/>
                <w:color w:val="auto"/>
                <w:szCs w:val="30"/>
              </w:rPr>
              <w:t>专栏2 城镇开发边界管控规则</w:t>
            </w:r>
          </w:p>
        </w:tc>
      </w:tr>
      <w:tr w14:paraId="2B8F6A4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8296" w:type="dxa"/>
            <w:vAlign w:val="center"/>
          </w:tcPr>
          <w:p w14:paraId="4CE752C6">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城镇开发边界内，实行“详细规划+规划许可”的管制方式，各类建设活动严格实行用途管制，按照规划用途依法办理有关手续，并加强与水体保护线、绿地系统线、基础设施建设控制线、历史文化保护线等协同管控。集中建设区用于布局城市、建制镇和新区、开发区等各类城镇集中建设。在符合本规划的前提下，其他用地已编制控制性详细规划且对用地兼容性作出规定的，应当按照控制性详细规划执行；控制性详细规划未作出规定或未编制控制性详细规划的，可以根据本规划及有关专项规划，并结合实际修编控制性详细规划或新编控制性详细规划进行用地兼容性规定。 </w:t>
            </w:r>
          </w:p>
          <w:p w14:paraId="581C713D">
            <w:pPr>
              <w:pStyle w:val="39"/>
              <w:spacing w:line="240" w:lineRule="auto"/>
              <w:ind w:firstLine="480"/>
              <w:rPr>
                <w:rFonts w:eastAsia="仿宋GB2312"/>
                <w:color w:val="000000"/>
                <w:kern w:val="0"/>
                <w:sz w:val="24"/>
                <w:szCs w:val="24"/>
                <w:lang w:bidi="ar"/>
              </w:rPr>
            </w:pPr>
            <w:r>
              <w:rPr>
                <w:rFonts w:hint="eastAsia" w:eastAsia="仿宋GB2312"/>
                <w:color w:val="000000"/>
                <w:kern w:val="0"/>
                <w:sz w:val="24"/>
                <w:szCs w:val="24"/>
                <w:lang w:bidi="ar"/>
              </w:rPr>
              <w:t xml:space="preserve">严格城镇开发边界外的空间准入，原则上除特殊用地外，只能用于农业生产、乡村振兴、生态保护和交通等基础设施建设，不得进行城镇集中建设，不得设立各类开发区。截至2021年年底前，城镇开发边界外纳入部系统备案已依法批准且落实占补平衡的建设用地和已依法取得土地使用权证的建设用地，在其批准的国土空间范围内建设的，均视为符合本规划和按不占用新增建设用地指标执行，可同步纳入相应的乡镇级国土空间总体规划；同时，在符合总体规划的前提下，可以通过编制详细规划或村庄规划核发规划许可。如国家、省另有其他规定，按其规定执行。 </w:t>
            </w:r>
          </w:p>
          <w:p w14:paraId="58004E6D">
            <w:pPr>
              <w:pStyle w:val="39"/>
              <w:spacing w:line="240" w:lineRule="auto"/>
              <w:ind w:firstLine="480"/>
              <w:rPr>
                <w:color w:val="auto"/>
                <w:sz w:val="21"/>
                <w:szCs w:val="16"/>
              </w:rPr>
            </w:pPr>
            <w:r>
              <w:rPr>
                <w:rFonts w:hint="eastAsia" w:eastAsia="仿宋GB2312"/>
                <w:color w:val="000000"/>
                <w:kern w:val="0"/>
                <w:sz w:val="24"/>
                <w:szCs w:val="24"/>
                <w:lang w:bidi="ar"/>
              </w:rPr>
              <w:t>城镇开发边界一经划定，原则上不得调整。因国家重大战略调整、国家重大项目建设、行政区划调整等确需调整的，按国土空间规划修改程序进行。规划实施中因地形差异、用地勘界、产权范围界定、比例尺衔接等情况需要局部勘误的，由市级自然资源主管部门认定后，不视为边界调整。</w:t>
            </w:r>
          </w:p>
        </w:tc>
      </w:tr>
      <w:bookmarkEnd w:id="139"/>
      <w:bookmarkEnd w:id="140"/>
      <w:bookmarkEnd w:id="141"/>
      <w:bookmarkEnd w:id="142"/>
      <w:bookmarkEnd w:id="143"/>
      <w:bookmarkEnd w:id="144"/>
      <w:bookmarkEnd w:id="145"/>
      <w:bookmarkEnd w:id="146"/>
    </w:tbl>
    <w:p w14:paraId="766B90C5">
      <w:pPr>
        <w:pStyle w:val="4"/>
        <w:numPr>
          <w:ilvl w:val="1"/>
          <w:numId w:val="2"/>
        </w:numPr>
        <w:spacing w:line="600" w:lineRule="exact"/>
        <w:ind w:firstLine="640" w:firstLineChars="200"/>
        <w:rPr>
          <w:rFonts w:ascii="Times New Roman" w:hAnsi="Times New Roman" w:cs="Times New Roman"/>
          <w:b w:val="0"/>
          <w:sz w:val="32"/>
        </w:rPr>
      </w:pPr>
      <w:bookmarkStart w:id="151" w:name="_Toc10925"/>
      <w:bookmarkStart w:id="152" w:name="_Toc29514"/>
      <w:bookmarkStart w:id="153" w:name="_Toc9274"/>
      <w:bookmarkStart w:id="154" w:name="_Toc7327"/>
      <w:bookmarkStart w:id="155" w:name="_Toc25970"/>
      <w:r>
        <w:rPr>
          <w:rFonts w:hint="eastAsia" w:ascii="Times New Roman" w:hAnsi="Times New Roman" w:cs="Times New Roman"/>
          <w:b w:val="0"/>
          <w:sz w:val="32"/>
        </w:rPr>
        <w:t>总体空间格局</w:t>
      </w:r>
      <w:bookmarkEnd w:id="151"/>
      <w:bookmarkEnd w:id="152"/>
      <w:bookmarkEnd w:id="153"/>
      <w:bookmarkEnd w:id="154"/>
      <w:bookmarkEnd w:id="155"/>
    </w:p>
    <w:p w14:paraId="59873BB9">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56" w:name="_Toc27285"/>
      <w:r>
        <w:rPr>
          <w:rFonts w:hint="eastAsia" w:ascii="Times New Roman" w:hAnsi="Times New Roman" w:eastAsia="楷体" w:cs="Times New Roman"/>
          <w:sz w:val="32"/>
          <w:szCs w:val="24"/>
        </w:rPr>
        <w:t xml:space="preserve"> 国土空间开发保护格局</w:t>
      </w:r>
      <w:bookmarkEnd w:id="156"/>
    </w:p>
    <w:p w14:paraId="308311EE">
      <w:pPr>
        <w:pStyle w:val="32"/>
        <w:ind w:firstLine="640"/>
        <w:rPr>
          <w:rFonts w:eastAsia="仿宋GB2312" w:cs="仿宋"/>
          <w:color w:val="000000"/>
          <w:kern w:val="0"/>
          <w:szCs w:val="32"/>
          <w:lang w:bidi="ar"/>
        </w:rPr>
      </w:pPr>
      <w:r>
        <w:rPr>
          <w:rFonts w:hint="eastAsia" w:eastAsia="仿宋GB2312" w:cs="仿宋"/>
          <w:color w:val="000000"/>
          <w:kern w:val="0"/>
          <w:szCs w:val="32"/>
          <w:lang w:bidi="ar"/>
        </w:rPr>
        <w:t>遵循自然地理格局和生态经济社会发展规律，强化生态屏障构筑与生态廊道建设，保障国家粮食安全，形成“一核一廊双轴两片区”的国土空间开发保护格局。</w:t>
      </w:r>
    </w:p>
    <w:p w14:paraId="6C5DE5AA">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一核：</w:t>
      </w:r>
      <w:r>
        <w:rPr>
          <w:rFonts w:hint="eastAsia" w:eastAsia="仿宋GB2312" w:cs="仿宋"/>
          <w:color w:val="000000"/>
          <w:kern w:val="0"/>
          <w:szCs w:val="32"/>
          <w:lang w:bidi="ar"/>
        </w:rPr>
        <w:t>城镇建设发展核心区。</w:t>
      </w:r>
    </w:p>
    <w:p w14:paraId="2E38103F">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一廊：</w:t>
      </w:r>
      <w:r>
        <w:rPr>
          <w:rFonts w:hint="eastAsia" w:eastAsia="仿宋GB2312" w:cs="仿宋"/>
          <w:color w:val="000000"/>
          <w:kern w:val="0"/>
          <w:szCs w:val="32"/>
          <w:lang w:bidi="ar"/>
        </w:rPr>
        <w:t>是西部努敏河沿线形成的生态廊道。</w:t>
      </w:r>
    </w:p>
    <w:p w14:paraId="48272380">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双轴：</w:t>
      </w:r>
      <w:r>
        <w:rPr>
          <w:rFonts w:hint="eastAsia" w:eastAsia="仿宋GB2312" w:cs="仿宋"/>
          <w:color w:val="000000"/>
          <w:kern w:val="0"/>
          <w:szCs w:val="32"/>
          <w:lang w:bidi="ar"/>
        </w:rPr>
        <w:t>由纵贯镇域南北的刘新线以及横贯镇域东西的鸡讷线共同构成的镇村魅力发展轴。</w:t>
      </w:r>
    </w:p>
    <w:p w14:paraId="354BF368">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两片区：</w:t>
      </w:r>
      <w:r>
        <w:rPr>
          <w:rFonts w:hint="eastAsia" w:eastAsia="仿宋GB2312" w:cs="仿宋"/>
          <w:color w:val="000000"/>
          <w:kern w:val="0"/>
          <w:szCs w:val="32"/>
          <w:lang w:bidi="ar"/>
        </w:rPr>
        <w:t>指镇域西部水稻生产区以及东部旱作农业区两大农业生产空间。西部水稻生产区主要发展精品绿色水稻，东部旱作农业区主要以玉米等作物种植为主。</w:t>
      </w:r>
    </w:p>
    <w:p w14:paraId="0C63E1F1">
      <w:pPr>
        <w:pStyle w:val="4"/>
        <w:numPr>
          <w:ilvl w:val="1"/>
          <w:numId w:val="2"/>
        </w:numPr>
        <w:spacing w:line="600" w:lineRule="exact"/>
        <w:ind w:firstLine="640" w:firstLineChars="200"/>
        <w:rPr>
          <w:rFonts w:ascii="Times New Roman" w:hAnsi="Times New Roman" w:cs="Times New Roman"/>
          <w:b w:val="0"/>
          <w:sz w:val="32"/>
        </w:rPr>
      </w:pPr>
      <w:bookmarkStart w:id="157" w:name="_Toc21406"/>
      <w:bookmarkStart w:id="158" w:name="_Toc23505"/>
      <w:bookmarkStart w:id="159" w:name="_Toc24830"/>
      <w:bookmarkStart w:id="160" w:name="_Toc26236"/>
      <w:bookmarkStart w:id="161" w:name="_Toc23714"/>
      <w:r>
        <w:rPr>
          <w:rFonts w:hint="eastAsia" w:ascii="Times New Roman" w:hAnsi="Times New Roman" w:cs="Times New Roman"/>
          <w:b w:val="0"/>
          <w:sz w:val="32"/>
        </w:rPr>
        <w:t>规划分区</w:t>
      </w:r>
      <w:bookmarkEnd w:id="157"/>
      <w:bookmarkEnd w:id="158"/>
      <w:bookmarkEnd w:id="159"/>
      <w:bookmarkEnd w:id="160"/>
      <w:bookmarkEnd w:id="161"/>
    </w:p>
    <w:p w14:paraId="4A68FC05">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62" w:name="_Toc15375"/>
      <w:r>
        <w:rPr>
          <w:rFonts w:hint="eastAsia" w:ascii="Times New Roman" w:hAnsi="Times New Roman" w:eastAsia="楷体" w:cs="Times New Roman"/>
          <w:sz w:val="32"/>
          <w:szCs w:val="24"/>
        </w:rPr>
        <w:t xml:space="preserve"> 统筹细化规划分区</w:t>
      </w:r>
      <w:bookmarkEnd w:id="162"/>
    </w:p>
    <w:p w14:paraId="3941C6A3">
      <w:pPr>
        <w:numPr>
          <w:ilvl w:val="0"/>
          <w:numId w:val="3"/>
        </w:numPr>
        <w:ind w:firstLine="640"/>
        <w:rPr>
          <w:rFonts w:hint="eastAsia"/>
          <w:sz w:val="32"/>
          <w:szCs w:val="32"/>
        </w:rPr>
      </w:pPr>
      <w:r>
        <w:rPr>
          <w:rFonts w:hint="eastAsia" w:ascii="Times New Roman" w:hAnsi="Times New Roman" w:eastAsia="仿宋GB2312"/>
          <w:color w:val="000000"/>
          <w:kern w:val="0"/>
          <w:sz w:val="32"/>
          <w:szCs w:val="32"/>
          <w:lang w:bidi="ar"/>
        </w:rPr>
        <w:t>在落实传导上集镇国土空间规划分区基础上，以主导功能为原则，将</w:t>
      </w:r>
      <w:r>
        <w:rPr>
          <w:rFonts w:hint="eastAsia" w:eastAsia="仿宋GB2312"/>
          <w:color w:val="000000"/>
          <w:kern w:val="0"/>
          <w:sz w:val="32"/>
          <w:szCs w:val="32"/>
          <w:lang w:bidi="ar"/>
        </w:rPr>
        <w:t>不同分区</w:t>
      </w:r>
      <w:r>
        <w:rPr>
          <w:rFonts w:hint="eastAsia" w:ascii="Times New Roman" w:hAnsi="Times New Roman" w:eastAsia="仿宋GB2312"/>
          <w:color w:val="000000"/>
          <w:kern w:val="0"/>
          <w:sz w:val="32"/>
          <w:szCs w:val="32"/>
          <w:lang w:bidi="ar"/>
        </w:rPr>
        <w:t>整合并入主导分区，同时结合</w:t>
      </w:r>
      <w:r>
        <w:rPr>
          <w:rFonts w:hint="eastAsia" w:eastAsia="仿宋GB2312"/>
          <w:color w:val="000000"/>
          <w:kern w:val="0"/>
          <w:sz w:val="32"/>
          <w:szCs w:val="32"/>
          <w:lang w:bidi="ar"/>
        </w:rPr>
        <w:t>国土变更调整</w:t>
      </w:r>
      <w:r>
        <w:rPr>
          <w:rFonts w:hint="eastAsia" w:ascii="Times New Roman" w:hAnsi="Times New Roman" w:eastAsia="仿宋GB2312"/>
          <w:color w:val="000000"/>
          <w:kern w:val="0"/>
          <w:sz w:val="32"/>
          <w:szCs w:val="32"/>
          <w:lang w:bidi="ar"/>
        </w:rPr>
        <w:t>、影像图和地物信息校正分区边界，</w:t>
      </w:r>
      <w:r>
        <w:rPr>
          <w:rFonts w:hint="eastAsia" w:ascii="Times New Roman" w:hAnsi="Times New Roman" w:eastAsia="仿宋GB2312"/>
          <w:color w:val="000000"/>
          <w:kern w:val="0"/>
          <w:sz w:val="32"/>
          <w:szCs w:val="32"/>
          <w:u w:val="single"/>
          <w:lang w:bidi="ar"/>
        </w:rPr>
        <w:t>形成生态控制区、农田保护区、城镇</w:t>
      </w:r>
      <w:r>
        <w:rPr>
          <w:rFonts w:hint="eastAsia" w:ascii="Times New Roman" w:hAnsi="Times New Roman" w:eastAsia="仿宋GB2312"/>
          <w:color w:val="000000"/>
          <w:kern w:val="0"/>
          <w:sz w:val="32"/>
          <w:szCs w:val="32"/>
          <w:u w:val="single"/>
          <w:lang w:val="en-US" w:eastAsia="zh-CN" w:bidi="ar"/>
        </w:rPr>
        <w:t>发展</w:t>
      </w:r>
      <w:r>
        <w:rPr>
          <w:rFonts w:hint="eastAsia" w:ascii="Times New Roman" w:hAnsi="Times New Roman" w:eastAsia="仿宋GB2312"/>
          <w:color w:val="000000"/>
          <w:kern w:val="0"/>
          <w:sz w:val="32"/>
          <w:szCs w:val="32"/>
          <w:u w:val="single"/>
          <w:lang w:bidi="ar"/>
        </w:rPr>
        <w:t>区、村庄建设区、一般农业区和林业发展区6类分区。</w:t>
      </w:r>
      <w:r>
        <w:rPr>
          <w:rFonts w:hint="eastAsia" w:ascii="Times New Roman" w:hAnsi="Times New Roman" w:eastAsia="仿宋GB2312"/>
          <w:color w:val="000000"/>
          <w:kern w:val="0"/>
          <w:sz w:val="32"/>
          <w:szCs w:val="32"/>
          <w:lang w:bidi="ar"/>
        </w:rPr>
        <w:t>同时，为便于匹配镇级管理能力和实际需求，将空间碎片化的一般农业区与林业发展区统一叠加农林复合发展政策区，制定统一的管制要求，提高空间完整度与集中度。</w:t>
      </w:r>
    </w:p>
    <w:p w14:paraId="71FFC17F">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63" w:name="_Toc31980"/>
      <w:r>
        <w:rPr>
          <w:rFonts w:hint="eastAsia" w:ascii="Times New Roman" w:hAnsi="Times New Roman" w:eastAsia="楷体" w:cs="Times New Roman"/>
          <w:sz w:val="32"/>
          <w:szCs w:val="24"/>
        </w:rPr>
        <w:t xml:space="preserve"> 规划分区管控要求</w:t>
      </w:r>
      <w:bookmarkEnd w:id="163"/>
    </w:p>
    <w:p w14:paraId="31C6BE29">
      <w:pPr>
        <w:pStyle w:val="32"/>
        <w:ind w:firstLine="640"/>
        <w:rPr>
          <w:rFonts w:eastAsia="仿宋GB2312" w:cs="仿宋"/>
          <w:color w:val="000000"/>
          <w:kern w:val="0"/>
          <w:szCs w:val="32"/>
          <w:lang w:bidi="ar"/>
        </w:rPr>
      </w:pPr>
      <w:r>
        <w:rPr>
          <w:rFonts w:hint="eastAsia" w:eastAsia="仿宋GB2312" w:cs="仿宋"/>
          <w:color w:val="000000"/>
          <w:kern w:val="0"/>
          <w:szCs w:val="32"/>
          <w:lang w:bidi="ar"/>
        </w:rPr>
        <w:t>生态控制区主要包括生态保护红线以外的公益林、河流和其他自然保留地。允许在不降低生态功能、不破坏自然生态系统、符合准入条件的前提下适度开发利用。严禁围湖造田、滥垦荒地等与生态功能有冲突的非法开发建设活动对生态环境的破坏。在符合准入条件前提下，控制各类建设项目的规模和强度，可进行如下活动：（1）交通、基础设施及其他线性工程，军事及安全保密、宗教、殡葬、综合防灾减灾、战略储备等特殊建设项目；（2）重要矿产资源勘查开采项目；（3）生态保护与修复类项目建设；（4）依法批准的生态旅游及其配套设施建设活动，严格控制旅游开发的区域、开发强度、限定日客流量及旅游设施的建设。</w:t>
      </w:r>
    </w:p>
    <w:p w14:paraId="3E886E63">
      <w:pPr>
        <w:pStyle w:val="32"/>
        <w:ind w:firstLine="640"/>
        <w:rPr>
          <w:rFonts w:eastAsia="仿宋GB2312" w:cs="仿宋"/>
          <w:color w:val="000000"/>
          <w:kern w:val="0"/>
          <w:szCs w:val="32"/>
          <w:lang w:bidi="ar"/>
        </w:rPr>
      </w:pPr>
      <w:r>
        <w:rPr>
          <w:rFonts w:hint="eastAsia" w:eastAsia="仿宋GB2312" w:cs="仿宋"/>
          <w:color w:val="000000"/>
          <w:kern w:val="0"/>
          <w:szCs w:val="32"/>
          <w:lang w:bidi="ar"/>
        </w:rPr>
        <w:t>农田保护区主要分布在沟谷地区。按照永久基本农田保护的相关法律法规进行管理，区内从严管控非农建设占用永久基本农田，鼓励开展高标准农田建设和土地整治，提高永久基本农田质量。</w:t>
      </w:r>
    </w:p>
    <w:p w14:paraId="5310CFD1">
      <w:pPr>
        <w:pStyle w:val="32"/>
        <w:ind w:firstLine="640"/>
        <w:rPr>
          <w:rFonts w:eastAsia="仿宋GB2312" w:cs="仿宋"/>
          <w:color w:val="000000"/>
          <w:kern w:val="0"/>
          <w:szCs w:val="32"/>
          <w:lang w:bidi="ar"/>
        </w:rPr>
      </w:pPr>
      <w:r>
        <w:rPr>
          <w:rFonts w:hint="eastAsia" w:eastAsia="仿宋GB2312" w:cs="仿宋"/>
          <w:color w:val="000000"/>
          <w:kern w:val="0"/>
          <w:szCs w:val="32"/>
          <w:lang w:bidi="ar"/>
        </w:rPr>
        <w:t>城镇集中建设区指城镇开发边界围合的范围。提出总体指标控制要求，对各类城镇建设土地用途和城镇建设行为提出准入要求。区内实行“详细规划+规划许可”的方式进行管理。</w:t>
      </w:r>
    </w:p>
    <w:p w14:paraId="468DD1A3">
      <w:pPr>
        <w:pStyle w:val="32"/>
        <w:ind w:firstLine="640"/>
        <w:rPr>
          <w:rFonts w:eastAsia="仿宋GB2312" w:cs="仿宋"/>
          <w:color w:val="000000"/>
          <w:kern w:val="0"/>
          <w:szCs w:val="32"/>
          <w:lang w:bidi="ar"/>
        </w:rPr>
      </w:pPr>
      <w:r>
        <w:rPr>
          <w:rFonts w:hint="eastAsia" w:eastAsia="仿宋GB2312" w:cs="仿宋"/>
          <w:color w:val="000000"/>
          <w:kern w:val="0"/>
          <w:szCs w:val="32"/>
          <w:lang w:bidi="ar"/>
        </w:rPr>
        <w:t>村庄建设区指村庄建设边界围合的范围。以改善农民生活条件为导向，提高土地节约集约利用水平，严格新建宅基地管理，鼓励通过土地整理、宅基地置换及有序退出等方式促进村庄减量发展；宅基地严格执行“一户一宅”政策，优先利用村内空闲地、闲置地和未利用地，宅基地面积按《黑龙江省土地管理条例》确定。村庄公共管理与公共服务设施用地应严格落实国家、省、市各项建设标准、规模，节约集约用地。</w:t>
      </w:r>
    </w:p>
    <w:p w14:paraId="44D3BE1E">
      <w:pPr>
        <w:pStyle w:val="32"/>
        <w:ind w:firstLine="640"/>
        <w:rPr>
          <w:rFonts w:eastAsia="仿宋GB2312" w:cs="仿宋"/>
          <w:color w:val="000000"/>
          <w:kern w:val="0"/>
          <w:szCs w:val="32"/>
          <w:lang w:bidi="ar"/>
        </w:rPr>
      </w:pPr>
      <w:r>
        <w:rPr>
          <w:rFonts w:hint="eastAsia" w:eastAsia="仿宋GB2312" w:cs="仿宋"/>
          <w:color w:val="000000"/>
          <w:kern w:val="0"/>
          <w:szCs w:val="32"/>
          <w:lang w:bidi="ar"/>
        </w:rPr>
        <w:t>一般农业区是以农业生产发展为主要利用功能导向的区域。林业发展区是以规模化林业生产为主要利用功能的区域。两类空间组成农林复合发展政策区，以农业与林业综合生产为主要利用功能，根据国土空间规划开展粮食和棉、油、糖、蔬菜等农产品生产以及农林复合经营，在法律允许的范围内合理安排各类生产活动，最大限度地挖掘农林用地生产力。加强农林用地综合整治，提升耕地质量和生态环境质量。在符合国土空间规划和其他相关规划的前提下，允许准入利用农村本地资源开展农产品初加工、发展休闲观光旅游而必须的配套设施建设，可预留不超过5%的建设用地机动指标，在法律允许的范围内合理安排各类生产活动。允许能源、交通、水利等基础设施用地准入，从严控制商业性经营设施建设用地准入，限制勘查、开采矿藏和其他项目用地准入。</w:t>
      </w:r>
    </w:p>
    <w:p w14:paraId="48030E6F">
      <w:pPr>
        <w:pStyle w:val="4"/>
        <w:numPr>
          <w:ilvl w:val="1"/>
          <w:numId w:val="2"/>
        </w:numPr>
        <w:spacing w:line="600" w:lineRule="exact"/>
        <w:ind w:firstLine="640" w:firstLineChars="200"/>
        <w:rPr>
          <w:rFonts w:ascii="Times New Roman" w:hAnsi="Times New Roman" w:cs="Times New Roman"/>
          <w:b w:val="0"/>
          <w:sz w:val="32"/>
        </w:rPr>
      </w:pPr>
      <w:bookmarkStart w:id="164" w:name="_Toc18175"/>
      <w:bookmarkStart w:id="165" w:name="_Toc28891"/>
      <w:bookmarkStart w:id="166" w:name="_Toc23876"/>
      <w:bookmarkStart w:id="167" w:name="_Toc16092"/>
      <w:bookmarkStart w:id="168" w:name="_Toc16604"/>
      <w:r>
        <w:rPr>
          <w:rFonts w:hint="eastAsia" w:ascii="Times New Roman" w:hAnsi="Times New Roman" w:cs="Times New Roman"/>
          <w:b w:val="0"/>
          <w:sz w:val="32"/>
        </w:rPr>
        <w:t>用地用途和结构调整</w:t>
      </w:r>
      <w:bookmarkEnd w:id="164"/>
      <w:bookmarkEnd w:id="165"/>
      <w:bookmarkEnd w:id="166"/>
      <w:bookmarkEnd w:id="167"/>
      <w:bookmarkEnd w:id="168"/>
    </w:p>
    <w:p w14:paraId="3852F787">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69" w:name="_Toc31890"/>
      <w:bookmarkStart w:id="170" w:name="_Toc22391"/>
      <w:bookmarkStart w:id="171" w:name="_Toc9863"/>
      <w:bookmarkStart w:id="172" w:name="_Toc15582"/>
      <w:bookmarkStart w:id="173" w:name="_Toc14118"/>
      <w:bookmarkStart w:id="174" w:name="_Toc23652"/>
      <w:bookmarkStart w:id="175" w:name="_Toc6042"/>
      <w:r>
        <w:rPr>
          <w:rFonts w:hint="eastAsia" w:ascii="Times New Roman" w:hAnsi="Times New Roman" w:eastAsia="楷体" w:cs="Times New Roman"/>
          <w:sz w:val="32"/>
          <w:szCs w:val="24"/>
        </w:rPr>
        <w:t xml:space="preserve"> 国土用地用途和结构调整</w:t>
      </w:r>
      <w:bookmarkEnd w:id="169"/>
      <w:bookmarkEnd w:id="170"/>
      <w:bookmarkEnd w:id="171"/>
      <w:bookmarkEnd w:id="172"/>
      <w:bookmarkEnd w:id="173"/>
      <w:bookmarkEnd w:id="174"/>
      <w:bookmarkEnd w:id="175"/>
    </w:p>
    <w:p w14:paraId="7F7FD313">
      <w:pPr>
        <w:pStyle w:val="32"/>
        <w:ind w:firstLine="640"/>
        <w:rPr>
          <w:rFonts w:eastAsia="仿宋GB2312" w:cs="仿宋"/>
          <w:color w:val="000000"/>
          <w:kern w:val="0"/>
          <w:szCs w:val="32"/>
          <w:lang w:bidi="ar"/>
        </w:rPr>
      </w:pPr>
      <w:r>
        <w:rPr>
          <w:rFonts w:hint="eastAsia" w:eastAsia="仿宋GB2312" w:cs="仿宋"/>
          <w:color w:val="000000"/>
          <w:kern w:val="0"/>
          <w:szCs w:val="32"/>
          <w:lang w:bidi="ar"/>
        </w:rPr>
        <w:t>稳定农用地总量。落实最严格的耕地保护制度，实施耕地数量、质量、生态“三位一体”，保证耕地数量不减少，全域农用地总量基本持平。</w:t>
      </w:r>
    </w:p>
    <w:p w14:paraId="57F437FE">
      <w:pPr>
        <w:pStyle w:val="32"/>
        <w:ind w:firstLine="640"/>
        <w:rPr>
          <w:rFonts w:eastAsia="仿宋GB2312" w:cs="仿宋"/>
          <w:color w:val="000000"/>
          <w:kern w:val="0"/>
          <w:szCs w:val="32"/>
          <w:lang w:bidi="ar"/>
        </w:rPr>
      </w:pPr>
      <w:r>
        <w:rPr>
          <w:rFonts w:hint="eastAsia" w:eastAsia="仿宋GB2312" w:cs="仿宋"/>
          <w:color w:val="000000"/>
          <w:kern w:val="0"/>
          <w:szCs w:val="32"/>
          <w:lang w:bidi="ar"/>
        </w:rPr>
        <w:t>保护生态用地。加快湿地保护、修复与建设，增强湿地涵养水源、净化水质、调蓄洪水等生态功能，确保湿地面积不减少，稳步推进生态修复。</w:t>
      </w:r>
    </w:p>
    <w:p w14:paraId="684F9CB3">
      <w:pPr>
        <w:pStyle w:val="32"/>
        <w:ind w:firstLine="640"/>
        <w:rPr>
          <w:rFonts w:eastAsia="仿宋GB2312" w:cs="仿宋"/>
          <w:color w:val="000000"/>
          <w:kern w:val="0"/>
          <w:szCs w:val="32"/>
          <w:lang w:bidi="ar"/>
        </w:rPr>
      </w:pPr>
      <w:r>
        <w:rPr>
          <w:rFonts w:hint="eastAsia" w:eastAsia="仿宋GB2312" w:cs="仿宋"/>
          <w:color w:val="000000"/>
          <w:kern w:val="0"/>
          <w:szCs w:val="32"/>
          <w:lang w:bidi="ar"/>
        </w:rPr>
        <w:t>严控建设用地。严格控制新增城镇建设用地，推进村庄建设用地节约集约化发展，合理保障区域基础设施和其他建设用地。引导建设用地由“增量扩张”向“增存并举”转型，盘活利用闲置土地，释放存量建设用地。逐步增加城乡建设用地增减挂钩、工矿废弃地复垦利用和低效用地再开发等指标，推动建设用地在乡镇和农村内部、乡镇之间合理流动。</w:t>
      </w:r>
    </w:p>
    <w:p w14:paraId="69DC853A">
      <w:pPr>
        <w:spacing w:line="600" w:lineRule="exact"/>
        <w:ind w:firstLine="596"/>
        <w:rPr>
          <w:rFonts w:hint="eastAsia" w:ascii="楷体" w:hAnsi="楷体" w:eastAsia="楷体" w:cs="楷体"/>
          <w:snapToGrid w:val="0"/>
          <w:color w:val="000000"/>
          <w:spacing w:val="-11"/>
          <w:kern w:val="0"/>
          <w:sz w:val="32"/>
          <w:szCs w:val="32"/>
        </w:rPr>
      </w:pPr>
      <w:r>
        <w:rPr>
          <w:rFonts w:hint="eastAsia" w:ascii="楷体" w:hAnsi="楷体" w:eastAsia="楷体" w:cs="楷体"/>
          <w:snapToGrid w:val="0"/>
          <w:color w:val="000000"/>
          <w:spacing w:val="-11"/>
          <w:kern w:val="0"/>
          <w:sz w:val="32"/>
          <w:szCs w:val="32"/>
        </w:rPr>
        <w:br w:type="page"/>
      </w:r>
    </w:p>
    <w:p w14:paraId="471EF709">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rPr>
      </w:pPr>
      <w:bookmarkStart w:id="176" w:name="_Toc23301"/>
      <w:bookmarkStart w:id="177" w:name="_Toc20334"/>
      <w:bookmarkStart w:id="178" w:name="_Toc6342"/>
      <w:bookmarkStart w:id="179" w:name="_Toc2110"/>
      <w:bookmarkStart w:id="180" w:name="_Toc19377"/>
      <w:bookmarkStart w:id="181" w:name="_Toc26344"/>
      <w:bookmarkStart w:id="182" w:name="_Toc849"/>
      <w:r>
        <w:rPr>
          <w:rFonts w:hint="eastAsia" w:ascii="Times New Roman" w:hAnsi="Times New Roman" w:eastAsia="方正小标宋简体" w:cs="方正小标宋简体"/>
          <w:b w:val="0"/>
          <w:bCs w:val="0"/>
          <w:sz w:val="36"/>
          <w:szCs w:val="36"/>
        </w:rPr>
        <w:t>空间布局优化</w:t>
      </w:r>
      <w:bookmarkEnd w:id="176"/>
      <w:bookmarkEnd w:id="177"/>
      <w:bookmarkEnd w:id="178"/>
      <w:bookmarkEnd w:id="179"/>
      <w:bookmarkEnd w:id="180"/>
    </w:p>
    <w:bookmarkEnd w:id="181"/>
    <w:bookmarkEnd w:id="182"/>
    <w:p w14:paraId="0C82DB29">
      <w:pPr>
        <w:pStyle w:val="4"/>
        <w:numPr>
          <w:ilvl w:val="1"/>
          <w:numId w:val="2"/>
        </w:numPr>
        <w:spacing w:line="600" w:lineRule="exact"/>
        <w:ind w:firstLine="640" w:firstLineChars="200"/>
        <w:rPr>
          <w:rFonts w:ascii="Times New Roman" w:hAnsi="Times New Roman" w:cs="Times New Roman"/>
          <w:b w:val="0"/>
          <w:sz w:val="32"/>
        </w:rPr>
      </w:pPr>
      <w:bookmarkStart w:id="183" w:name="_Toc20612"/>
      <w:bookmarkStart w:id="184" w:name="_Toc13355"/>
      <w:bookmarkStart w:id="185" w:name="_Toc27639"/>
      <w:bookmarkStart w:id="186" w:name="_Toc14103"/>
      <w:bookmarkStart w:id="187" w:name="_Toc6368"/>
      <w:r>
        <w:rPr>
          <w:rFonts w:hint="eastAsia" w:ascii="Times New Roman" w:hAnsi="Times New Roman" w:cs="Times New Roman"/>
          <w:b w:val="0"/>
          <w:sz w:val="32"/>
        </w:rPr>
        <w:t>保护优质高效的农业发展空间</w:t>
      </w:r>
      <w:bookmarkEnd w:id="183"/>
      <w:bookmarkEnd w:id="184"/>
      <w:bookmarkEnd w:id="185"/>
      <w:bookmarkEnd w:id="186"/>
      <w:bookmarkEnd w:id="187"/>
    </w:p>
    <w:p w14:paraId="3584AFE4">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88" w:name="_Toc27738"/>
      <w:r>
        <w:rPr>
          <w:rFonts w:hint="eastAsia" w:ascii="Times New Roman" w:hAnsi="Times New Roman" w:eastAsia="楷体" w:cs="Times New Roman"/>
          <w:sz w:val="32"/>
          <w:szCs w:val="24"/>
        </w:rPr>
        <w:t xml:space="preserve"> 构建“一区两片”农业发展空间格局</w:t>
      </w:r>
      <w:bookmarkEnd w:id="188"/>
    </w:p>
    <w:p w14:paraId="14EB2E8C">
      <w:pPr>
        <w:pStyle w:val="32"/>
        <w:ind w:firstLine="640"/>
      </w:pPr>
      <w:r>
        <w:rPr>
          <w:rFonts w:hint="eastAsia" w:eastAsia="仿宋GB2312" w:cs="仿宋"/>
          <w:color w:val="000000"/>
          <w:kern w:val="0"/>
          <w:szCs w:val="32"/>
          <w:lang w:bidi="ar"/>
        </w:rPr>
        <w:t>构建以优质作物为主导的“一区两片”农业发展格局，分别为西部努敏河沿岸水稻主产区、东北特色农业片区、西南旱作农业片区。</w:t>
      </w:r>
    </w:p>
    <w:p w14:paraId="60F93C53">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89" w:name="_Toc14847"/>
      <w:bookmarkStart w:id="190" w:name="_Toc6101"/>
      <w:bookmarkStart w:id="191" w:name="_Toc24057"/>
      <w:r>
        <w:rPr>
          <w:rFonts w:hint="eastAsia" w:ascii="Times New Roman" w:hAnsi="Times New Roman" w:eastAsia="楷体" w:cs="Times New Roman"/>
          <w:sz w:val="32"/>
          <w:szCs w:val="24"/>
        </w:rPr>
        <w:t xml:space="preserve"> 实施耕地“三位一体”保护</w:t>
      </w:r>
      <w:bookmarkEnd w:id="189"/>
      <w:bookmarkEnd w:id="190"/>
      <w:bookmarkEnd w:id="191"/>
    </w:p>
    <w:p w14:paraId="1614751C">
      <w:pPr>
        <w:pStyle w:val="32"/>
        <w:ind w:firstLine="640"/>
        <w:rPr>
          <w:rFonts w:eastAsia="仿宋GB2312" w:cs="仿宋"/>
          <w:color w:val="000000"/>
          <w:kern w:val="0"/>
          <w:szCs w:val="32"/>
          <w:lang w:bidi="ar"/>
        </w:rPr>
      </w:pPr>
      <w:r>
        <w:rPr>
          <w:rFonts w:hint="eastAsia" w:eastAsia="仿宋GB2312" w:cs="仿宋"/>
          <w:color w:val="000000"/>
          <w:kern w:val="0"/>
          <w:szCs w:val="32"/>
          <w:lang w:bidi="ar"/>
        </w:rPr>
        <w:t>严格耕地占补平衡，实施耕地进出平衡，实施耕地种植用途管控，加强永久基本农田保护和建设，科学有序实施后备资源开发和战略储备。镇党委、镇政府把耕地保护和粮食安全责任落实好，将耕地保有量和永久基本农田向下传导。定期考核耕地保护目标任务的完成情况，对耕地保护工作实行党政同责、终身追责。</w:t>
      </w:r>
    </w:p>
    <w:p w14:paraId="0CC25D0D">
      <w:pPr>
        <w:pStyle w:val="32"/>
        <w:ind w:firstLine="640"/>
        <w:rPr>
          <w:rFonts w:eastAsia="仿宋GB2312" w:cs="仿宋"/>
          <w:color w:val="000000"/>
          <w:kern w:val="0"/>
          <w:szCs w:val="32"/>
          <w:lang w:bidi="ar"/>
        </w:rPr>
      </w:pPr>
      <w:r>
        <w:rPr>
          <w:rFonts w:hint="eastAsia" w:eastAsia="仿宋GB2312" w:cs="仿宋"/>
          <w:color w:val="000000"/>
          <w:kern w:val="0"/>
          <w:szCs w:val="32"/>
          <w:lang w:bidi="ar"/>
        </w:rPr>
        <w:t>耕地生态。推动用地与养地相结合，积极推行农业轮作制度，推广大豆、玉米轮作等绿色、高产、优质、综合配套技术模式；稳步推进不适宜耕种的退耕还林工程，实施保护性耕作，加速耕地退化治理；深入实施土壤污染防治行动计划，落实对农药残留和农膜等的治理对策，加大治理力度，促进土壤污染防治与修复技术的应用。</w:t>
      </w:r>
    </w:p>
    <w:p w14:paraId="4B78E790">
      <w:pPr>
        <w:pStyle w:val="32"/>
        <w:ind w:firstLine="640"/>
        <w:rPr>
          <w:rFonts w:eastAsia="仿宋GB2312" w:cs="仿宋"/>
          <w:color w:val="000000"/>
          <w:kern w:val="0"/>
          <w:szCs w:val="32"/>
          <w:lang w:bidi="ar"/>
        </w:rPr>
      </w:pPr>
      <w:r>
        <w:rPr>
          <w:rFonts w:hint="eastAsia" w:eastAsia="仿宋GB2312" w:cs="仿宋"/>
          <w:color w:val="000000"/>
          <w:kern w:val="0"/>
          <w:szCs w:val="32"/>
          <w:lang w:bidi="ar"/>
        </w:rPr>
        <w:t>有序引导推进土地流转。加大对农村闲置宅基地和集体经营性建设用地整理复垦力度，优先利用新增建设用地建设中心村，完善土地增收分配机制，大力推行“大田托管”、“代耕代种”、“联耕联种”等多种模式，尽可能为农民创收提供最大的便利。</w:t>
      </w:r>
    </w:p>
    <w:p w14:paraId="7F68B5F6">
      <w:pPr>
        <w:pStyle w:val="32"/>
        <w:ind w:firstLine="640"/>
        <w:rPr>
          <w:rFonts w:eastAsia="仿宋GB2312" w:cs="仿宋"/>
          <w:color w:val="000000"/>
          <w:kern w:val="0"/>
          <w:szCs w:val="32"/>
          <w:lang w:bidi="ar"/>
        </w:rPr>
      </w:pPr>
      <w:r>
        <w:rPr>
          <w:rFonts w:hint="eastAsia" w:eastAsia="仿宋GB2312" w:cs="仿宋"/>
          <w:color w:val="000000"/>
          <w:kern w:val="0"/>
          <w:szCs w:val="32"/>
          <w:lang w:bidi="ar"/>
        </w:rPr>
        <w:t>拓展农业生产空间。立足于区域粮食安全，扩大农业生产空间。在对耕地和生态环境进行充分保护的前提下，将农产品生产空间从耕地扩展到草地、林地、湿地等国土空间，形成与市场需求和资源环境承载能力相匹配的农业空间结构和布局，形成以农产品为主的多元化食物生产空间，确保区域重要农产品的有效供给。</w:t>
      </w:r>
    </w:p>
    <w:p w14:paraId="4DD9C2F6">
      <w:pPr>
        <w:pStyle w:val="32"/>
        <w:ind w:firstLine="640"/>
        <w:rPr>
          <w:rFonts w:eastAsia="仿宋GB2312" w:cs="仿宋"/>
          <w:color w:val="000000"/>
          <w:kern w:val="0"/>
          <w:szCs w:val="32"/>
          <w:lang w:bidi="ar"/>
        </w:rPr>
      </w:pPr>
      <w:r>
        <w:rPr>
          <w:rFonts w:hint="eastAsia" w:eastAsia="仿宋GB2312" w:cs="仿宋"/>
          <w:color w:val="000000"/>
          <w:kern w:val="0"/>
          <w:szCs w:val="32"/>
          <w:lang w:bidi="ar"/>
        </w:rPr>
        <w:t>优化农产品加工空间。农产品加工联结工业和农业、惠及企业和农户，是农业和工业相互融合的朝阳产业。以农产品加工企业为主，优化农业产品加工空间结构。将镇政府驻地东南部园区内11家规模以上大米加工厂沿国道333扩建，争取将镇政府驻地内大米加工厂都发展为规模以上企业，进一步促进上集镇经济发展。</w:t>
      </w:r>
    </w:p>
    <w:p w14:paraId="359BB5E0">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92" w:name="_Toc19296"/>
      <w:r>
        <w:rPr>
          <w:rFonts w:hint="eastAsia" w:ascii="Times New Roman" w:hAnsi="Times New Roman" w:eastAsia="楷体" w:cs="Times New Roman"/>
          <w:sz w:val="32"/>
          <w:szCs w:val="24"/>
        </w:rPr>
        <w:t xml:space="preserve"> 扎实推进黑土地保护</w:t>
      </w:r>
      <w:bookmarkEnd w:id="192"/>
    </w:p>
    <w:p w14:paraId="73B2FCFC">
      <w:pPr>
        <w:pStyle w:val="32"/>
        <w:ind w:firstLine="640"/>
        <w:rPr>
          <w:rFonts w:eastAsia="仿宋GB2312" w:cs="仿宋"/>
          <w:color w:val="000000"/>
          <w:kern w:val="0"/>
          <w:szCs w:val="32"/>
          <w:lang w:bidi="ar"/>
        </w:rPr>
      </w:pPr>
      <w:r>
        <w:rPr>
          <w:rFonts w:hint="eastAsia" w:eastAsia="仿宋GB2312" w:cs="仿宋"/>
          <w:color w:val="000000"/>
          <w:kern w:val="0"/>
          <w:szCs w:val="32"/>
          <w:lang w:bidi="ar"/>
        </w:rPr>
        <w:t>黑土地保护。黑土地保护需要政府和公众的共同努力，通过科技创新、制度建设、宣传教育等多方面的手段，提高黑土地的质量和数量，为农业可持续发展和生态文明建设做出贡献。从政府层面需要加强土地利用规划，制定和实施黑土地保护规划，明确黑土地的保护范围、管护责任和保护措施，加强对黑土地的管理和监测。涉及占用黑土耕地的地区，应在黑土区内协调落实补地任务，实现“占黑土补黑土”。建设占用耕地的耕作层土壤应当按照规定的标准进行剥离再利用。坚持生态优先，用养结合的原则，落实黑土耕地战略，在耕地利用强度高的地区实行休耕轮作，推广保护性耕作模式，扩大秸秆还田，增加有机肥施用，推进黑土耕地高标准农田建设，完善农田基础设施，提高耕地综合生产能力。加强林网建设，防止黑土流失，保持土壤容量，克音河、努敏河流域沿岸以水土流失治理为主，加强侵蚀沟治理，建立有效的水土流失防治体系。此外需对公众加强宣传教育，通过广泛宣传和教育，提高公众对黑土地保护的认识和意识，增强全社会的参与和支持。</w:t>
      </w:r>
    </w:p>
    <w:p w14:paraId="3C35D683">
      <w:pPr>
        <w:pStyle w:val="4"/>
        <w:numPr>
          <w:ilvl w:val="1"/>
          <w:numId w:val="2"/>
        </w:numPr>
        <w:spacing w:line="600" w:lineRule="exact"/>
        <w:ind w:firstLine="640" w:firstLineChars="200"/>
        <w:rPr>
          <w:rFonts w:ascii="Times New Roman" w:hAnsi="Times New Roman" w:cs="Times New Roman"/>
          <w:b w:val="0"/>
          <w:sz w:val="32"/>
        </w:rPr>
      </w:pPr>
      <w:bookmarkStart w:id="193" w:name="_Toc26898"/>
      <w:bookmarkStart w:id="194" w:name="_Toc28680"/>
      <w:bookmarkStart w:id="195" w:name="_Toc18640"/>
      <w:bookmarkStart w:id="196" w:name="_Toc30828"/>
      <w:bookmarkStart w:id="197" w:name="_Toc16537"/>
      <w:r>
        <w:rPr>
          <w:rFonts w:hint="eastAsia" w:ascii="Times New Roman" w:hAnsi="Times New Roman" w:cs="Times New Roman"/>
          <w:b w:val="0"/>
          <w:sz w:val="32"/>
        </w:rPr>
        <w:t>建设绿色安全的生态空间</w:t>
      </w:r>
      <w:bookmarkEnd w:id="193"/>
      <w:bookmarkEnd w:id="194"/>
      <w:bookmarkEnd w:id="195"/>
      <w:bookmarkEnd w:id="196"/>
      <w:bookmarkEnd w:id="197"/>
    </w:p>
    <w:p w14:paraId="1C219FE2">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198" w:name="_Toc6202"/>
      <w:r>
        <w:rPr>
          <w:rFonts w:hint="eastAsia" w:ascii="Times New Roman" w:hAnsi="Times New Roman" w:eastAsia="楷体" w:cs="Times New Roman"/>
          <w:sz w:val="32"/>
          <w:szCs w:val="24"/>
        </w:rPr>
        <w:t xml:space="preserve"> 构建“一带多廊一心多点”的生态空间总体格局</w:t>
      </w:r>
      <w:bookmarkEnd w:id="198"/>
    </w:p>
    <w:p w14:paraId="66DE8FD6">
      <w:pPr>
        <w:pStyle w:val="32"/>
        <w:ind w:firstLine="640"/>
        <w:rPr>
          <w:rFonts w:eastAsia="仿宋GB2312" w:cs="仿宋"/>
          <w:color w:val="000000"/>
          <w:kern w:val="0"/>
          <w:szCs w:val="32"/>
          <w:lang w:bidi="ar"/>
        </w:rPr>
      </w:pPr>
      <w:r>
        <w:rPr>
          <w:rFonts w:hint="eastAsia" w:eastAsia="仿宋GB2312" w:cs="仿宋"/>
          <w:color w:val="000000"/>
          <w:kern w:val="0"/>
          <w:szCs w:val="32"/>
          <w:lang w:bidi="ar"/>
        </w:rPr>
        <w:t>结合上集镇自然生态条件，依托水林田草等自然资源，促进平原农田和林地草地生态治理，强化生态廊道连通性，以努敏河为根基，优化林草生态资源，构建“一带串联、多廊贯穿、一心镶嵌、多点相拥”的生态系统保护格局，作为上集镇的基本生态骨架，支撑生态系统功能基底，增强镇域生态系统的服务能力。</w:t>
      </w:r>
    </w:p>
    <w:p w14:paraId="72DD9069">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“一带”：</w:t>
      </w:r>
      <w:r>
        <w:rPr>
          <w:rFonts w:hint="eastAsia" w:eastAsia="仿宋GB2312" w:cs="仿宋"/>
          <w:color w:val="000000"/>
          <w:kern w:val="0"/>
          <w:szCs w:val="32"/>
          <w:lang w:bidi="ar"/>
        </w:rPr>
        <w:t>指以镇域西侧努敏河为主的水系生态带，加强努敏河水环境保护，保护水生生物环境，提升流域生态系统功能。</w:t>
      </w:r>
    </w:p>
    <w:p w14:paraId="3C8F653E">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“多廊”：</w:t>
      </w:r>
      <w:r>
        <w:rPr>
          <w:rFonts w:hint="eastAsia" w:eastAsia="仿宋GB2312" w:cs="仿宋"/>
          <w:color w:val="000000"/>
          <w:kern w:val="0"/>
          <w:szCs w:val="32"/>
          <w:lang w:bidi="ar"/>
        </w:rPr>
        <w:t>指由努敏河各支流形成的多条生态廊道，根据上集镇河流生态建设要求，开展水环境综合治理，疏浚河道并加强水土保持，系统维护田地与水系生态环境。</w:t>
      </w:r>
    </w:p>
    <w:p w14:paraId="3A55AA3D">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“一心”：</w:t>
      </w:r>
      <w:r>
        <w:rPr>
          <w:rFonts w:hint="eastAsia" w:eastAsia="仿宋GB2312" w:cs="仿宋"/>
          <w:color w:val="000000"/>
          <w:kern w:val="0"/>
          <w:szCs w:val="32"/>
          <w:lang w:bidi="ar"/>
        </w:rPr>
        <w:t>指以红旗水库为核心的湿地系统，依据水库水质要求，维持红旗水库废弃后水质不下降，确保水库周边地带生态安全，有效保护生态环境。</w:t>
      </w:r>
    </w:p>
    <w:p w14:paraId="490A06CC">
      <w:pPr>
        <w:pStyle w:val="32"/>
        <w:ind w:firstLine="640"/>
        <w:rPr>
          <w:rFonts w:eastAsia="仿宋GB2312" w:cs="仿宋"/>
          <w:color w:val="000000"/>
          <w:kern w:val="0"/>
          <w:szCs w:val="32"/>
          <w:lang w:bidi="ar"/>
        </w:rPr>
      </w:pPr>
      <w:r>
        <w:rPr>
          <w:rFonts w:hint="eastAsia" w:eastAsia="仿宋GB2312" w:cs="仿宋"/>
          <w:color w:val="000000"/>
          <w:kern w:val="0"/>
          <w:szCs w:val="32"/>
          <w:lang w:bidi="ar"/>
        </w:rPr>
        <w:t>“</w:t>
      </w:r>
      <w:r>
        <w:rPr>
          <w:rFonts w:hint="eastAsia" w:ascii="楷体" w:hAnsi="楷体" w:eastAsia="楷体" w:cs="楷体"/>
          <w:color w:val="000000"/>
          <w:kern w:val="0"/>
          <w:szCs w:val="32"/>
          <w:lang w:bidi="ar"/>
        </w:rPr>
        <w:t>多点”：</w:t>
      </w:r>
      <w:r>
        <w:rPr>
          <w:rFonts w:hint="eastAsia" w:eastAsia="仿宋GB2312" w:cs="仿宋"/>
          <w:color w:val="000000"/>
          <w:kern w:val="0"/>
          <w:szCs w:val="32"/>
          <w:lang w:bidi="ar"/>
        </w:rPr>
        <w:t>指镇内其他林地、草地、湿地等生态功能区，根据生产生活与环境保护需求统筹管理，因地制宜加强生态环境保护。</w:t>
      </w:r>
    </w:p>
    <w:p w14:paraId="2741812B">
      <w:pPr>
        <w:keepNext/>
        <w:keepLines/>
        <w:numPr>
          <w:ilvl w:val="2"/>
          <w:numId w:val="2"/>
        </w:numPr>
        <w:spacing w:line="600" w:lineRule="exact"/>
        <w:ind w:firstLineChars="0"/>
        <w:jc w:val="left"/>
        <w:outlineLvl w:val="2"/>
        <w:rPr>
          <w:rFonts w:ascii="Times New Roman" w:hAnsi="Times New Roman" w:eastAsia="楷体" w:cs="Times New Roman"/>
          <w:sz w:val="32"/>
          <w:szCs w:val="24"/>
          <w:lang w:val="zh-CN"/>
        </w:rPr>
      </w:pPr>
      <w:bookmarkStart w:id="199" w:name="_Toc1080"/>
      <w:r>
        <w:rPr>
          <w:rFonts w:hint="eastAsia" w:ascii="Times New Roman" w:hAnsi="Times New Roman" w:eastAsia="楷体" w:cs="Times New Roman"/>
          <w:sz w:val="32"/>
          <w:szCs w:val="24"/>
        </w:rPr>
        <w:t xml:space="preserve"> 分级分类管护生态空间</w:t>
      </w:r>
      <w:bookmarkEnd w:id="199"/>
      <w:r>
        <w:rPr>
          <w:rFonts w:hint="eastAsia" w:ascii="Times New Roman" w:hAnsi="Times New Roman" w:eastAsia="楷体" w:cs="Times New Roman"/>
          <w:sz w:val="32"/>
          <w:szCs w:val="24"/>
          <w:lang w:val="zh-CN"/>
        </w:rPr>
        <w:tab/>
      </w:r>
    </w:p>
    <w:p w14:paraId="23699358">
      <w:pPr>
        <w:pStyle w:val="32"/>
        <w:ind w:firstLine="640"/>
        <w:rPr>
          <w:rFonts w:eastAsia="仿宋GB2312" w:cs="仿宋"/>
          <w:color w:val="000000"/>
          <w:kern w:val="0"/>
          <w:szCs w:val="32"/>
          <w:lang w:bidi="ar"/>
        </w:rPr>
      </w:pPr>
      <w:r>
        <w:rPr>
          <w:rFonts w:hint="eastAsia" w:eastAsia="仿宋GB2312" w:cs="仿宋"/>
          <w:color w:val="000000"/>
          <w:kern w:val="0"/>
          <w:szCs w:val="32"/>
          <w:lang w:bidi="ar"/>
        </w:rPr>
        <w:t>加强水资源、湿地资源、林地资源以及草地资源的保护与管控。保护并维育林地、草地、湿地等生态资源，稳固生态系统碳汇本底，不断提升上集森林资源的碳汇能力，保障并有序增加林地保有量，以涵养水源、保持水土、恢复和扩大林地植被，增加生物多样性。实施天然草地退牧还草、围栏封育等生态保护修复工程，科学有序提升草地生命力、生产力和土壤固碳、固氮能力。</w:t>
      </w:r>
    </w:p>
    <w:p w14:paraId="11F4F836">
      <w:pPr>
        <w:pStyle w:val="32"/>
        <w:ind w:firstLine="640"/>
        <w:rPr>
          <w:rFonts w:eastAsia="仿宋GB2312" w:cs="仿宋"/>
          <w:color w:val="000000"/>
          <w:kern w:val="0"/>
          <w:szCs w:val="32"/>
          <w:lang w:val="zh-CN" w:bidi="ar"/>
        </w:rPr>
      </w:pPr>
      <w:r>
        <w:rPr>
          <w:rFonts w:hint="eastAsia" w:eastAsia="仿宋GB2312" w:cs="仿宋"/>
          <w:color w:val="000000"/>
          <w:kern w:val="0"/>
          <w:szCs w:val="32"/>
          <w:lang w:bidi="ar"/>
        </w:rPr>
        <w:t>着力改善努敏河和红旗水库水环境生态，科学制定并合理实施河流生态流量保障方案，维持河水基本生态用水需求；强化河流岸线周围土地用途管制和节约集约利用，严格控制开发利用强度，最大程度保持河流岸线自然形态。强化河道沿岸田地用途管制和节约集约利用，严格控制开发利用强度，在充分保障其他建设用地需求的基础上提升田地生产力。</w:t>
      </w:r>
    </w:p>
    <w:p w14:paraId="4C247858">
      <w:pPr>
        <w:pStyle w:val="4"/>
        <w:numPr>
          <w:ilvl w:val="1"/>
          <w:numId w:val="2"/>
        </w:numPr>
        <w:spacing w:line="600" w:lineRule="exact"/>
        <w:ind w:firstLine="640" w:firstLineChars="200"/>
        <w:rPr>
          <w:rFonts w:ascii="Times New Roman" w:hAnsi="Times New Roman" w:cs="Times New Roman"/>
          <w:b w:val="0"/>
          <w:sz w:val="32"/>
        </w:rPr>
      </w:pPr>
      <w:bookmarkStart w:id="200" w:name="_Toc12379"/>
      <w:bookmarkStart w:id="201" w:name="_Toc26065"/>
      <w:bookmarkStart w:id="202" w:name="_Toc25836"/>
      <w:bookmarkStart w:id="203" w:name="_Toc14878"/>
      <w:bookmarkStart w:id="204" w:name="_Toc23555"/>
      <w:bookmarkStart w:id="205" w:name="_Toc18725"/>
      <w:bookmarkStart w:id="206" w:name="_Toc652363282"/>
      <w:bookmarkStart w:id="207" w:name="_Toc9061"/>
      <w:r>
        <w:rPr>
          <w:rFonts w:hint="eastAsia" w:ascii="Times New Roman" w:hAnsi="Times New Roman" w:cs="Times New Roman"/>
          <w:b w:val="0"/>
          <w:sz w:val="32"/>
        </w:rPr>
        <w:t xml:space="preserve"> </w:t>
      </w:r>
      <w:bookmarkEnd w:id="200"/>
      <w:bookmarkEnd w:id="201"/>
      <w:bookmarkEnd w:id="202"/>
      <w:bookmarkEnd w:id="203"/>
      <w:bookmarkEnd w:id="204"/>
      <w:bookmarkEnd w:id="205"/>
      <w:bookmarkEnd w:id="206"/>
      <w:bookmarkEnd w:id="207"/>
      <w:bookmarkStart w:id="208" w:name="_Toc15939"/>
      <w:bookmarkStart w:id="209" w:name="_Toc5345"/>
      <w:bookmarkStart w:id="210" w:name="_Toc23891"/>
      <w:bookmarkStart w:id="211" w:name="_Toc5477"/>
      <w:bookmarkStart w:id="212" w:name="_Toc10082"/>
      <w:r>
        <w:rPr>
          <w:rFonts w:hint="eastAsia" w:ascii="Times New Roman" w:hAnsi="Times New Roman" w:cs="Times New Roman"/>
          <w:b w:val="0"/>
          <w:sz w:val="32"/>
        </w:rPr>
        <w:t>城乡建设空间</w:t>
      </w:r>
      <w:bookmarkEnd w:id="208"/>
      <w:bookmarkEnd w:id="209"/>
      <w:bookmarkEnd w:id="210"/>
      <w:bookmarkEnd w:id="211"/>
      <w:bookmarkEnd w:id="212"/>
    </w:p>
    <w:p w14:paraId="23A30F49">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13" w:name="_Toc21795"/>
      <w:bookmarkStart w:id="214" w:name="_Toc15416"/>
      <w:bookmarkStart w:id="215" w:name="_Toc19123"/>
      <w:bookmarkStart w:id="216" w:name="_Toc29384"/>
      <w:bookmarkStart w:id="217" w:name="_Toc12736"/>
      <w:bookmarkStart w:id="218" w:name="_Toc7506"/>
      <w:bookmarkStart w:id="219" w:name="_Toc2269"/>
      <w:bookmarkStart w:id="220" w:name="_Toc25137"/>
      <w:bookmarkStart w:id="221" w:name="_Toc6514"/>
      <w:r>
        <w:rPr>
          <w:rFonts w:hint="eastAsia" w:ascii="Times New Roman" w:hAnsi="Times New Roman" w:eastAsia="楷体" w:cs="Times New Roman"/>
          <w:sz w:val="32"/>
          <w:szCs w:val="24"/>
        </w:rPr>
        <w:t xml:space="preserve"> 构建镇村等级体系</w:t>
      </w:r>
      <w:bookmarkEnd w:id="213"/>
      <w:bookmarkEnd w:id="214"/>
      <w:bookmarkEnd w:id="215"/>
      <w:bookmarkEnd w:id="216"/>
      <w:bookmarkEnd w:id="217"/>
    </w:p>
    <w:p w14:paraId="51DC4D83">
      <w:pPr>
        <w:widowControl/>
        <w:spacing w:line="600" w:lineRule="exact"/>
        <w:ind w:firstLine="640"/>
        <w:rPr>
          <w:rFonts w:ascii="Times New Roman" w:hAnsi="Times New Roman" w:eastAsia="仿宋GB2312"/>
          <w:color w:val="000000"/>
          <w:kern w:val="0"/>
          <w:sz w:val="32"/>
          <w:szCs w:val="32"/>
          <w:lang w:bidi="ar"/>
        </w:rPr>
      </w:pPr>
      <w:bookmarkStart w:id="222" w:name="_Hlk150082493"/>
      <w:r>
        <w:rPr>
          <w:rFonts w:hint="eastAsia" w:ascii="Times New Roman" w:hAnsi="Times New Roman" w:eastAsia="仿宋GB2312"/>
          <w:color w:val="000000"/>
          <w:kern w:val="0"/>
          <w:sz w:val="32"/>
          <w:szCs w:val="32"/>
          <w:lang w:bidi="ar"/>
        </w:rPr>
        <w:t>规划构建“镇政府驻地—中心村—基层村”三级镇村等级结构体系。中心村包括稻香村、天放村；基层村包括大兴村、诺敏河村、宝田村、民族村、平安村、国栋村</w:t>
      </w:r>
      <w:bookmarkEnd w:id="222"/>
      <w:r>
        <w:rPr>
          <w:rFonts w:hint="eastAsia" w:ascii="Times New Roman" w:hAnsi="Times New Roman" w:eastAsia="仿宋GB2312"/>
          <w:color w:val="000000"/>
          <w:kern w:val="0"/>
          <w:sz w:val="32"/>
          <w:szCs w:val="32"/>
          <w:lang w:bidi="ar"/>
        </w:rPr>
        <w:t>。</w:t>
      </w:r>
    </w:p>
    <w:p w14:paraId="21FE435C">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23" w:name="_Toc2580"/>
      <w:bookmarkStart w:id="224" w:name="_Toc4333"/>
      <w:bookmarkStart w:id="225" w:name="_Toc5375"/>
      <w:bookmarkStart w:id="226" w:name="_Toc25667"/>
      <w:bookmarkStart w:id="227" w:name="_Toc26134"/>
      <w:r>
        <w:rPr>
          <w:rFonts w:hint="eastAsia" w:ascii="Times New Roman" w:hAnsi="Times New Roman" w:eastAsia="楷体" w:cs="Times New Roman"/>
          <w:sz w:val="32"/>
          <w:szCs w:val="24"/>
        </w:rPr>
        <w:t xml:space="preserve"> 村庄分类布局</w:t>
      </w:r>
      <w:bookmarkEnd w:id="223"/>
      <w:bookmarkEnd w:id="224"/>
      <w:bookmarkEnd w:id="225"/>
      <w:bookmarkEnd w:id="226"/>
      <w:bookmarkEnd w:id="227"/>
    </w:p>
    <w:p w14:paraId="133A8B66">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综合考虑乡镇当地人口规模、经济职能等因素，同时结合乡村振兴战略要求，在村庄分类调整的基础上规划形成聚集提升类和特色保护类两种类型。</w:t>
      </w:r>
    </w:p>
    <w:p w14:paraId="006868F2">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聚集提升类村庄包括稻香村、宝田村、国栋村、诺敏河村、平安村、民族村、上集村；特色保护类村庄为天放村和大兴村。</w:t>
      </w:r>
    </w:p>
    <w:p w14:paraId="0C03CAC8">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28" w:name="_Toc32192"/>
      <w:bookmarkStart w:id="229" w:name="_Toc29925"/>
      <w:bookmarkStart w:id="230" w:name="_Toc104"/>
      <w:r>
        <w:rPr>
          <w:rFonts w:hint="eastAsia" w:ascii="Times New Roman" w:hAnsi="Times New Roman" w:eastAsia="楷体" w:cs="Times New Roman"/>
          <w:sz w:val="32"/>
          <w:szCs w:val="24"/>
        </w:rPr>
        <w:t xml:space="preserve"> 镇域产业空间布局</w:t>
      </w:r>
      <w:bookmarkEnd w:id="218"/>
      <w:bookmarkEnd w:id="219"/>
      <w:bookmarkEnd w:id="228"/>
      <w:bookmarkEnd w:id="229"/>
      <w:bookmarkEnd w:id="230"/>
    </w:p>
    <w:p w14:paraId="08A6E859">
      <w:pPr>
        <w:pStyle w:val="32"/>
        <w:ind w:firstLine="640"/>
        <w:rPr>
          <w:rFonts w:eastAsia="仿宋GB2312" w:cs="仿宋"/>
          <w:color w:val="000000"/>
          <w:kern w:val="0"/>
          <w:szCs w:val="32"/>
          <w:lang w:val="zh-CN" w:bidi="ar"/>
        </w:rPr>
      </w:pPr>
      <w:r>
        <w:rPr>
          <w:rFonts w:hint="eastAsia" w:eastAsia="仿宋GB2312" w:cs="仿宋"/>
          <w:color w:val="000000"/>
          <w:kern w:val="0"/>
          <w:szCs w:val="32"/>
          <w:lang w:val="zh-CN" w:bidi="ar"/>
        </w:rPr>
        <w:t>以农头工尾、粮头食尾为指引，以“米市集镇、北方蒜业、寒地鹅乡”为建设目标，紧紧围绕振兴大米、大蒜、大鹅“三大”产业，发展加工销售和商贸物流，形成产城一体、三产融合、镇村同步、功能互补的发展格局。</w:t>
      </w:r>
    </w:p>
    <w:p w14:paraId="1D14C435">
      <w:pPr>
        <w:pStyle w:val="32"/>
        <w:ind w:firstLine="640"/>
        <w:rPr>
          <w:rFonts w:eastAsia="仿宋GB2312" w:cs="仿宋"/>
          <w:color w:val="000000"/>
          <w:kern w:val="0"/>
          <w:szCs w:val="32"/>
          <w:lang w:val="zh-CN" w:bidi="ar"/>
        </w:rPr>
      </w:pPr>
      <w:r>
        <w:rPr>
          <w:rFonts w:hint="eastAsia" w:eastAsia="仿宋GB2312" w:cs="仿宋"/>
          <w:color w:val="000000"/>
          <w:kern w:val="0"/>
          <w:szCs w:val="32"/>
          <w:lang w:val="zh-CN" w:bidi="ar"/>
        </w:rPr>
        <w:t>根据产业基础、资源条件、交通区位、以及未来的发展趋势，上集镇应逐步形成“一核两轴一环三片区”的产业空间布局结构，推动全镇经济社会发展。</w:t>
      </w:r>
    </w:p>
    <w:p w14:paraId="0E33D0CA">
      <w:pPr>
        <w:pStyle w:val="32"/>
        <w:ind w:firstLine="640"/>
        <w:rPr>
          <w:rFonts w:eastAsia="仿宋GB2312" w:cs="仿宋"/>
          <w:color w:val="000000"/>
          <w:kern w:val="0"/>
          <w:szCs w:val="32"/>
          <w:lang w:val="zh-CN" w:bidi="ar"/>
        </w:rPr>
      </w:pPr>
      <w:r>
        <w:rPr>
          <w:rFonts w:hint="eastAsia" w:ascii="楷体" w:hAnsi="楷体" w:eastAsia="楷体" w:cs="楷体"/>
          <w:color w:val="000000"/>
          <w:kern w:val="0"/>
          <w:szCs w:val="32"/>
          <w:lang w:val="zh-CN" w:bidi="ar"/>
        </w:rPr>
        <w:t>“一核”：</w:t>
      </w:r>
      <w:r>
        <w:rPr>
          <w:rFonts w:hint="eastAsia" w:eastAsia="仿宋GB2312" w:cs="仿宋"/>
          <w:color w:val="000000"/>
          <w:kern w:val="0"/>
          <w:szCs w:val="32"/>
          <w:lang w:val="zh-CN" w:bidi="ar"/>
        </w:rPr>
        <w:t>上集镇产业发展极核，是镇政府驻地，对全镇产业发展起到组织带动作用。</w:t>
      </w:r>
    </w:p>
    <w:p w14:paraId="3DDF5E38">
      <w:pPr>
        <w:pStyle w:val="32"/>
        <w:ind w:firstLine="640"/>
        <w:rPr>
          <w:rFonts w:eastAsia="仿宋GB2312" w:cs="仿宋"/>
          <w:color w:val="000000"/>
          <w:kern w:val="0"/>
          <w:szCs w:val="32"/>
          <w:lang w:val="zh-CN" w:bidi="ar"/>
        </w:rPr>
      </w:pPr>
      <w:r>
        <w:rPr>
          <w:rFonts w:hint="eastAsia" w:ascii="楷体" w:hAnsi="楷体" w:eastAsia="楷体" w:cs="楷体"/>
          <w:color w:val="000000"/>
          <w:kern w:val="0"/>
          <w:szCs w:val="32"/>
          <w:lang w:val="zh-CN" w:bidi="ar"/>
        </w:rPr>
        <w:t>“两轴”：</w:t>
      </w:r>
      <w:r>
        <w:rPr>
          <w:rFonts w:hint="eastAsia" w:eastAsia="仿宋GB2312" w:cs="仿宋"/>
          <w:color w:val="000000"/>
          <w:kern w:val="0"/>
          <w:szCs w:val="32"/>
          <w:lang w:val="zh-CN" w:bidi="ar"/>
        </w:rPr>
        <w:t>刘新线产业发展聚合主轴与鸡讷线产业发展副轴，是全镇主要的物流配送带以及对外经济联系通道。</w:t>
      </w:r>
    </w:p>
    <w:p w14:paraId="003B1AF6">
      <w:pPr>
        <w:pStyle w:val="32"/>
        <w:ind w:firstLine="640"/>
        <w:rPr>
          <w:rFonts w:eastAsia="仿宋GB2312" w:cs="仿宋"/>
          <w:color w:val="000000"/>
          <w:kern w:val="0"/>
          <w:szCs w:val="32"/>
          <w:lang w:val="zh-CN" w:bidi="ar"/>
        </w:rPr>
      </w:pPr>
      <w:r>
        <w:rPr>
          <w:rFonts w:hint="eastAsia" w:ascii="楷体" w:hAnsi="楷体" w:eastAsia="楷体" w:cs="楷体"/>
          <w:color w:val="000000"/>
          <w:kern w:val="0"/>
          <w:szCs w:val="32"/>
          <w:lang w:val="zh-CN" w:bidi="ar"/>
        </w:rPr>
        <w:t>“一环”：</w:t>
      </w:r>
      <w:r>
        <w:rPr>
          <w:rFonts w:hint="eastAsia" w:eastAsia="仿宋GB2312" w:cs="仿宋"/>
          <w:color w:val="000000"/>
          <w:kern w:val="0"/>
          <w:szCs w:val="32"/>
          <w:lang w:val="zh-CN" w:bidi="ar"/>
        </w:rPr>
        <w:t>由鸡讷公路、刘新线、诺长线围合成的，串联镇政府驻地、大兴村、民族村、天放村等重要旅游节点与特色民族风情区、红色文化旅游区、道教传统文化区、稻田观光区等重要旅游资源，并与周边区域旅游产业联动发展的</w:t>
      </w:r>
      <w:r>
        <w:rPr>
          <w:rFonts w:hint="eastAsia" w:eastAsia="仿宋GB2312" w:cs="仿宋"/>
          <w:color w:val="000000"/>
          <w:kern w:val="0"/>
          <w:szCs w:val="32"/>
          <w:lang w:bidi="ar"/>
        </w:rPr>
        <w:t>镇</w:t>
      </w:r>
      <w:r>
        <w:rPr>
          <w:rFonts w:hint="eastAsia" w:eastAsia="仿宋GB2312" w:cs="仿宋"/>
          <w:color w:val="000000"/>
          <w:kern w:val="0"/>
          <w:szCs w:val="32"/>
          <w:lang w:val="zh-CN" w:bidi="ar"/>
        </w:rPr>
        <w:t>村旅游发展环线。</w:t>
      </w:r>
    </w:p>
    <w:p w14:paraId="49659AB0">
      <w:pPr>
        <w:pStyle w:val="32"/>
        <w:ind w:firstLine="640"/>
        <w:rPr>
          <w:rFonts w:eastAsia="仿宋GB2312" w:cs="仿宋"/>
          <w:color w:val="000000"/>
          <w:kern w:val="0"/>
          <w:szCs w:val="32"/>
          <w:lang w:val="zh-CN" w:bidi="ar"/>
        </w:rPr>
      </w:pPr>
      <w:r>
        <w:rPr>
          <w:rFonts w:hint="eastAsia" w:ascii="楷体" w:hAnsi="楷体" w:eastAsia="楷体" w:cs="楷体"/>
          <w:color w:val="000000"/>
          <w:kern w:val="0"/>
          <w:szCs w:val="32"/>
          <w:lang w:val="zh-CN" w:bidi="ar"/>
        </w:rPr>
        <w:t>“三区”</w:t>
      </w:r>
      <w:r>
        <w:rPr>
          <w:rFonts w:hint="eastAsia" w:ascii="楷体" w:hAnsi="楷体" w:eastAsia="楷体" w:cs="楷体"/>
          <w:color w:val="000000"/>
          <w:kern w:val="0"/>
          <w:szCs w:val="32"/>
          <w:lang w:bidi="ar"/>
        </w:rPr>
        <w:t>:</w:t>
      </w:r>
      <w:r>
        <w:rPr>
          <w:rFonts w:hint="eastAsia" w:eastAsia="仿宋GB2312" w:cs="仿宋"/>
          <w:color w:val="000000"/>
          <w:kern w:val="0"/>
          <w:szCs w:val="32"/>
          <w:lang w:bidi="ar"/>
        </w:rPr>
        <w:t>分别</w:t>
      </w:r>
      <w:r>
        <w:rPr>
          <w:rFonts w:hint="eastAsia" w:eastAsia="仿宋GB2312" w:cs="仿宋"/>
          <w:color w:val="000000"/>
          <w:kern w:val="0"/>
          <w:szCs w:val="32"/>
          <w:lang w:val="zh-CN" w:bidi="ar"/>
        </w:rPr>
        <w:t>为水稻生产与民族风情旅游区、特色农业布局与物流发展区、农产品加工与现代服务综合发展区。</w:t>
      </w:r>
    </w:p>
    <w:p w14:paraId="2355EB59">
      <w:pPr>
        <w:pStyle w:val="32"/>
        <w:ind w:firstLine="640"/>
        <w:rPr>
          <w:rFonts w:eastAsia="仿宋GB2312" w:cs="仿宋"/>
          <w:color w:val="000000"/>
          <w:kern w:val="0"/>
          <w:szCs w:val="32"/>
          <w:lang w:val="zh-CN" w:bidi="ar"/>
        </w:rPr>
      </w:pPr>
      <w:r>
        <w:rPr>
          <w:rFonts w:hint="eastAsia" w:eastAsia="仿宋GB2312" w:cs="仿宋"/>
          <w:color w:val="000000"/>
          <w:kern w:val="0"/>
          <w:szCs w:val="32"/>
          <w:lang w:val="zh-CN" w:bidi="ar"/>
        </w:rPr>
        <w:t>在县域国土空间开发保护格局的指引下，结合城乡功能布局和经济发展构想，优化乡镇间的空间整合和城乡空间融合，完善乡镇功能组织，引导区域差异化协调发展。</w:t>
      </w:r>
      <w:bookmarkEnd w:id="220"/>
      <w:bookmarkEnd w:id="221"/>
    </w:p>
    <w:p w14:paraId="4BE1EC47">
      <w:pPr>
        <w:spacing w:line="600" w:lineRule="exact"/>
        <w:ind w:firstLine="720"/>
        <w:rPr>
          <w:rFonts w:hint="eastAsia" w:ascii="方正小标宋_GBK" w:hAnsi="方正小标宋_GBK" w:eastAsia="方正小标宋_GBK" w:cs="方正小标宋_GBK"/>
          <w:color w:val="000000"/>
          <w:kern w:val="0"/>
          <w:sz w:val="36"/>
          <w:szCs w:val="36"/>
          <w:lang w:bidi="ar"/>
        </w:rPr>
      </w:pPr>
      <w:r>
        <w:rPr>
          <w:rFonts w:hint="eastAsia" w:ascii="方正小标宋_GBK" w:hAnsi="方正小标宋_GBK" w:eastAsia="方正小标宋_GBK" w:cs="方正小标宋_GBK"/>
          <w:color w:val="000000"/>
          <w:kern w:val="0"/>
          <w:sz w:val="36"/>
          <w:szCs w:val="36"/>
          <w:lang w:bidi="ar"/>
        </w:rPr>
        <w:br w:type="page"/>
      </w:r>
    </w:p>
    <w:p w14:paraId="486ABAA8">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rPr>
      </w:pPr>
      <w:bookmarkStart w:id="231" w:name="_Toc236"/>
      <w:bookmarkStart w:id="232" w:name="_Toc2375"/>
      <w:bookmarkStart w:id="233" w:name="_Toc31825"/>
      <w:bookmarkStart w:id="234" w:name="_Toc18980"/>
      <w:bookmarkStart w:id="235" w:name="_Toc29478"/>
      <w:r>
        <w:rPr>
          <w:rFonts w:hint="eastAsia" w:ascii="Times New Roman" w:hAnsi="Times New Roman" w:eastAsia="方正小标宋简体" w:cs="方正小标宋简体"/>
          <w:b w:val="0"/>
          <w:bCs w:val="0"/>
          <w:sz w:val="36"/>
          <w:szCs w:val="36"/>
        </w:rPr>
        <w:t>上集镇政府驻地规划</w:t>
      </w:r>
      <w:bookmarkEnd w:id="231"/>
      <w:bookmarkEnd w:id="232"/>
      <w:bookmarkEnd w:id="233"/>
      <w:bookmarkEnd w:id="234"/>
      <w:bookmarkEnd w:id="235"/>
    </w:p>
    <w:p w14:paraId="0DAD7A50">
      <w:pPr>
        <w:pStyle w:val="4"/>
        <w:numPr>
          <w:ilvl w:val="1"/>
          <w:numId w:val="2"/>
        </w:numPr>
        <w:spacing w:line="600" w:lineRule="exact"/>
        <w:ind w:firstLine="640" w:firstLineChars="200"/>
        <w:rPr>
          <w:rFonts w:ascii="Times New Roman" w:hAnsi="Times New Roman" w:cs="Times New Roman"/>
          <w:b w:val="0"/>
          <w:sz w:val="32"/>
        </w:rPr>
      </w:pPr>
      <w:bookmarkStart w:id="236" w:name="_Toc3283"/>
      <w:bookmarkStart w:id="237" w:name="_Toc24571"/>
      <w:bookmarkStart w:id="238" w:name="_Toc18378"/>
      <w:bookmarkStart w:id="239" w:name="_Toc30112"/>
      <w:bookmarkStart w:id="240" w:name="_Toc4497"/>
      <w:bookmarkStart w:id="241" w:name="_Toc5840"/>
      <w:bookmarkStart w:id="242" w:name="_Toc5497"/>
      <w:r>
        <w:rPr>
          <w:rFonts w:hint="eastAsia" w:ascii="Times New Roman" w:hAnsi="Times New Roman" w:cs="Times New Roman"/>
          <w:b w:val="0"/>
          <w:sz w:val="32"/>
        </w:rPr>
        <w:t>发展方向与</w:t>
      </w:r>
      <w:bookmarkEnd w:id="236"/>
      <w:bookmarkEnd w:id="237"/>
      <w:r>
        <w:rPr>
          <w:rFonts w:hint="eastAsia" w:ascii="Times New Roman" w:hAnsi="Times New Roman" w:cs="Times New Roman"/>
          <w:b w:val="0"/>
          <w:sz w:val="32"/>
        </w:rPr>
        <w:t>规模</w:t>
      </w:r>
      <w:bookmarkEnd w:id="238"/>
      <w:bookmarkEnd w:id="239"/>
      <w:bookmarkEnd w:id="240"/>
      <w:bookmarkEnd w:id="241"/>
      <w:bookmarkEnd w:id="242"/>
    </w:p>
    <w:p w14:paraId="16B63ABD">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43" w:name="_Toc21126"/>
      <w:r>
        <w:rPr>
          <w:rFonts w:hint="eastAsia" w:ascii="Times New Roman" w:hAnsi="Times New Roman" w:eastAsia="楷体" w:cs="Times New Roman"/>
          <w:sz w:val="32"/>
          <w:szCs w:val="24"/>
        </w:rPr>
        <w:t xml:space="preserve"> 发展思路</w:t>
      </w:r>
      <w:bookmarkEnd w:id="243"/>
    </w:p>
    <w:p w14:paraId="53453A6E">
      <w:pPr>
        <w:pStyle w:val="32"/>
        <w:ind w:firstLine="640"/>
        <w:rPr>
          <w:rFonts w:eastAsia="仿宋GB2312" w:cs="仿宋"/>
          <w:color w:val="000000"/>
          <w:kern w:val="0"/>
          <w:szCs w:val="32"/>
          <w:lang w:bidi="ar"/>
        </w:rPr>
      </w:pPr>
      <w:r>
        <w:rPr>
          <w:rFonts w:hint="eastAsia" w:eastAsia="仿宋GB2312" w:cs="仿宋"/>
          <w:color w:val="000000"/>
          <w:kern w:val="0"/>
          <w:szCs w:val="32"/>
          <w:lang w:bidi="ar"/>
        </w:rPr>
        <w:t>规划上集镇镇政府驻地产业以现代农业为核心，依托农业资源及中心地区位条件与发展基础，结合国家推动镇村产业高质量发展的意见指导，提高现中心地的土地利用效率，加快发展基础服务设施与农产品加工产业。</w:t>
      </w:r>
    </w:p>
    <w:p w14:paraId="1F11E799">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44" w:name="_Toc10974"/>
      <w:r>
        <w:rPr>
          <w:rFonts w:hint="eastAsia" w:ascii="Times New Roman" w:hAnsi="Times New Roman" w:eastAsia="楷体" w:cs="Times New Roman"/>
          <w:sz w:val="32"/>
          <w:szCs w:val="24"/>
        </w:rPr>
        <w:t xml:space="preserve"> 发展定位</w:t>
      </w:r>
      <w:bookmarkEnd w:id="244"/>
    </w:p>
    <w:p w14:paraId="2FDEC8A8">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依托上集镇优质农业资源及上集镇政府驻地优良区位条件，打造上集镇农产品加工处理中心。</w:t>
      </w:r>
    </w:p>
    <w:p w14:paraId="3CD87B8A">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45" w:name="_Toc26048"/>
      <w:r>
        <w:rPr>
          <w:rFonts w:hint="eastAsia" w:ascii="Times New Roman" w:hAnsi="Times New Roman" w:eastAsia="楷体" w:cs="Times New Roman"/>
          <w:sz w:val="32"/>
          <w:szCs w:val="24"/>
        </w:rPr>
        <w:t xml:space="preserve"> 规划目标</w:t>
      </w:r>
      <w:bookmarkEnd w:id="245"/>
    </w:p>
    <w:p w14:paraId="56CC5201">
      <w:pPr>
        <w:pStyle w:val="32"/>
        <w:ind w:firstLine="640"/>
        <w:rPr>
          <w:rFonts w:eastAsia="仿宋GB2312" w:cs="仿宋"/>
          <w:color w:val="000000"/>
          <w:kern w:val="0"/>
          <w:szCs w:val="32"/>
          <w:lang w:bidi="ar"/>
        </w:rPr>
      </w:pPr>
      <w:r>
        <w:rPr>
          <w:rFonts w:hint="eastAsia" w:eastAsia="仿宋GB2312" w:cs="仿宋"/>
          <w:color w:val="000000"/>
          <w:kern w:val="0"/>
          <w:szCs w:val="32"/>
          <w:lang w:bidi="ar"/>
        </w:rPr>
        <w:t>本轮规划致力于开发上集镇农产品加工业及民俗旅游业，完善基础设施建设，进行高质量开发，打造北方特色的乡镇农产品加工产业区，支持家庭农场、农民合作社和中小微企业等发展农产品产地初加工。</w:t>
      </w:r>
      <w:bookmarkStart w:id="246" w:name="_Toc19143"/>
      <w:bookmarkStart w:id="247" w:name="_Toc25725"/>
    </w:p>
    <w:p w14:paraId="39F0DD93">
      <w:pPr>
        <w:pStyle w:val="4"/>
        <w:numPr>
          <w:ilvl w:val="1"/>
          <w:numId w:val="2"/>
        </w:numPr>
        <w:spacing w:line="600" w:lineRule="exact"/>
        <w:ind w:firstLine="640" w:firstLineChars="200"/>
        <w:rPr>
          <w:rFonts w:ascii="Times New Roman" w:hAnsi="Times New Roman" w:cs="Times New Roman"/>
          <w:b w:val="0"/>
          <w:sz w:val="32"/>
        </w:rPr>
      </w:pPr>
      <w:bookmarkStart w:id="248" w:name="_Toc3450"/>
      <w:bookmarkStart w:id="249" w:name="_Toc984"/>
      <w:bookmarkStart w:id="250" w:name="_Toc12033"/>
      <w:bookmarkStart w:id="251" w:name="_Toc9426"/>
      <w:bookmarkStart w:id="252" w:name="_Toc14376"/>
      <w:r>
        <w:rPr>
          <w:rFonts w:hint="eastAsia" w:ascii="Times New Roman" w:hAnsi="Times New Roman" w:cs="Times New Roman"/>
          <w:b w:val="0"/>
          <w:sz w:val="32"/>
        </w:rPr>
        <w:t>功能结构与空间布局</w:t>
      </w:r>
      <w:bookmarkEnd w:id="246"/>
      <w:bookmarkEnd w:id="247"/>
      <w:bookmarkEnd w:id="248"/>
      <w:bookmarkEnd w:id="249"/>
      <w:bookmarkEnd w:id="250"/>
      <w:bookmarkEnd w:id="251"/>
      <w:bookmarkEnd w:id="252"/>
    </w:p>
    <w:p w14:paraId="526609B4">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53" w:name="_Toc23716"/>
      <w:r>
        <w:rPr>
          <w:rFonts w:hint="eastAsia" w:ascii="Times New Roman" w:hAnsi="Times New Roman" w:eastAsia="楷体" w:cs="Times New Roman"/>
          <w:sz w:val="32"/>
          <w:szCs w:val="24"/>
        </w:rPr>
        <w:t xml:space="preserve"> 用地布局</w:t>
      </w:r>
      <w:bookmarkEnd w:id="253"/>
    </w:p>
    <w:p w14:paraId="035873EA">
      <w:pPr>
        <w:pStyle w:val="32"/>
        <w:ind w:firstLine="640"/>
        <w:rPr>
          <w:rFonts w:eastAsia="仿宋GB2312" w:cs="仿宋"/>
          <w:color w:val="000000"/>
          <w:kern w:val="0"/>
          <w:szCs w:val="32"/>
          <w:lang w:bidi="ar"/>
        </w:rPr>
      </w:pPr>
      <w:r>
        <w:rPr>
          <w:rFonts w:hint="eastAsia" w:eastAsia="仿宋GB2312" w:cs="仿宋"/>
          <w:color w:val="000000"/>
          <w:kern w:val="0"/>
          <w:szCs w:val="32"/>
          <w:lang w:bidi="ar"/>
        </w:rPr>
        <w:t>通过对上集镇城镇布局现状的深入研究，确定上集镇乡镇空间结构为“一心一轴双片区”。</w:t>
      </w:r>
    </w:p>
    <w:p w14:paraId="7A7FC31D">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“一心”：</w:t>
      </w:r>
      <w:r>
        <w:rPr>
          <w:rFonts w:hint="eastAsia" w:eastAsia="仿宋GB2312" w:cs="仿宋"/>
          <w:color w:val="000000"/>
          <w:kern w:val="0"/>
          <w:szCs w:val="32"/>
          <w:lang w:bidi="ar"/>
        </w:rPr>
        <w:t>上集镇镇政府周围分布的行政商业中心。</w:t>
      </w:r>
    </w:p>
    <w:p w14:paraId="29D1F5FA">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“一轴”:</w:t>
      </w:r>
      <w:r>
        <w:rPr>
          <w:rFonts w:hint="eastAsia" w:eastAsia="仿宋GB2312" w:cs="仿宋"/>
          <w:color w:val="000000"/>
          <w:kern w:val="0"/>
          <w:szCs w:val="32"/>
          <w:lang w:bidi="ar"/>
        </w:rPr>
        <w:t>上集镇的乡镇功能发展轴线，主要发展轴指的是县道303。</w:t>
      </w:r>
    </w:p>
    <w:p w14:paraId="60C271C4">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“双片区”</w:t>
      </w:r>
      <w:r>
        <w:rPr>
          <w:rFonts w:hint="eastAsia" w:eastAsia="仿宋GB2312" w:cs="仿宋"/>
          <w:color w:val="000000"/>
          <w:kern w:val="0"/>
          <w:szCs w:val="32"/>
          <w:lang w:bidi="ar"/>
        </w:rPr>
        <w:t>:上集镇西北居住生活区、东南工业发展区。</w:t>
      </w:r>
    </w:p>
    <w:p w14:paraId="22C7449D">
      <w:pPr>
        <w:pStyle w:val="4"/>
        <w:numPr>
          <w:ilvl w:val="1"/>
          <w:numId w:val="2"/>
        </w:numPr>
        <w:spacing w:line="600" w:lineRule="exact"/>
        <w:ind w:firstLine="640" w:firstLineChars="200"/>
        <w:rPr>
          <w:rFonts w:ascii="Times New Roman" w:hAnsi="Times New Roman" w:cs="Times New Roman"/>
          <w:b w:val="0"/>
          <w:sz w:val="32"/>
        </w:rPr>
      </w:pPr>
      <w:bookmarkStart w:id="254" w:name="_Toc22162"/>
      <w:r>
        <w:rPr>
          <w:rFonts w:hint="eastAsia" w:ascii="Times New Roman" w:hAnsi="Times New Roman" w:cs="Times New Roman"/>
          <w:b w:val="0"/>
          <w:sz w:val="32"/>
        </w:rPr>
        <w:t>居住空间布局</w:t>
      </w:r>
      <w:bookmarkEnd w:id="254"/>
    </w:p>
    <w:p w14:paraId="69D4D933">
      <w:pPr>
        <w:keepNext/>
        <w:keepLines/>
        <w:numPr>
          <w:ilvl w:val="2"/>
          <w:numId w:val="2"/>
        </w:numPr>
        <w:spacing w:line="600" w:lineRule="exact"/>
        <w:ind w:firstLineChars="0"/>
        <w:jc w:val="left"/>
        <w:outlineLvl w:val="2"/>
        <w:rPr>
          <w:rFonts w:ascii="Times New Roman" w:hAnsi="Times New Roman" w:eastAsia="楷体" w:cs="Times New Roman"/>
          <w:sz w:val="32"/>
          <w:szCs w:val="24"/>
        </w:rPr>
      </w:pPr>
      <w:r>
        <w:rPr>
          <w:rFonts w:hint="eastAsia" w:ascii="Times New Roman" w:hAnsi="Times New Roman" w:eastAsia="楷体" w:cs="Times New Roman"/>
          <w:sz w:val="32"/>
          <w:szCs w:val="24"/>
        </w:rPr>
        <w:t xml:space="preserve"> 居住用地布局</w:t>
      </w:r>
    </w:p>
    <w:p w14:paraId="07E691E3">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促进居住用地合理布局、有序增长和集约利用。居住用地主要分布在镇政府驻地两侧，集中建设配套设施齐全的居住新区，为上集镇居民创造优美、舒适、安全、方便的现代化生活居住环境；镇政府驻地现状建成区居住用地采取“有机更新”的方式，对现有现状建筑质量较好的居住用地进行保留，对建筑密度大、环境质量差的低效用地分批次进行更新改造，通过对老旧住宅拆迁改造、改善基础设施、公共交通条件、增加公共绿地和开敞空间，提升整体环境质量。</w:t>
      </w:r>
    </w:p>
    <w:p w14:paraId="0FAEFD12">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规划远期至2035年，随着国家生态文明理念的逐步落实，居民生活水平逐步提高，镇政府驻地的人口愈发集聚，对于居住环境的改善、城乡配套设施的完善也愈发迫切。用地开发重点仍然是盘活内部存量，加快低效居住、老旧住宅改造，尤其加强老旧平房区低效用地、闲置院落的改造，逐步引导零散分布的老旧平房集中建设，腾闲的建设用地用于城乡产业发展、基础设施、公共服务设施完善、人居环境改善等。</w:t>
      </w:r>
    </w:p>
    <w:p w14:paraId="79B65E8B">
      <w:pPr>
        <w:pStyle w:val="4"/>
        <w:numPr>
          <w:ilvl w:val="1"/>
          <w:numId w:val="2"/>
        </w:numPr>
        <w:spacing w:line="600" w:lineRule="exact"/>
        <w:ind w:firstLine="640" w:firstLineChars="200"/>
        <w:rPr>
          <w:rFonts w:ascii="Times New Roman" w:hAnsi="Times New Roman" w:cs="Times New Roman"/>
          <w:b w:val="0"/>
          <w:sz w:val="32"/>
        </w:rPr>
      </w:pPr>
      <w:bookmarkStart w:id="255" w:name="_Toc25167"/>
      <w:bookmarkStart w:id="256" w:name="_Toc10364"/>
      <w:bookmarkStart w:id="257" w:name="_Toc18971"/>
      <w:bookmarkStart w:id="258" w:name="_Toc12230"/>
      <w:bookmarkStart w:id="259" w:name="_Toc15623"/>
      <w:r>
        <w:rPr>
          <w:rFonts w:hint="eastAsia" w:ascii="Times New Roman" w:hAnsi="Times New Roman" w:cs="Times New Roman"/>
          <w:b w:val="0"/>
          <w:sz w:val="32"/>
        </w:rPr>
        <w:t>绿地与开敞空间</w:t>
      </w:r>
      <w:bookmarkEnd w:id="255"/>
      <w:bookmarkEnd w:id="256"/>
      <w:bookmarkEnd w:id="257"/>
      <w:bookmarkEnd w:id="258"/>
      <w:bookmarkEnd w:id="259"/>
    </w:p>
    <w:p w14:paraId="13EA90A4">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60" w:name="_Toc3981"/>
      <w:r>
        <w:rPr>
          <w:rFonts w:hint="eastAsia" w:ascii="Times New Roman" w:hAnsi="Times New Roman" w:eastAsia="楷体" w:cs="Times New Roman"/>
          <w:sz w:val="32"/>
          <w:szCs w:val="24"/>
        </w:rPr>
        <w:t xml:space="preserve"> 绿地系统</w:t>
      </w:r>
      <w:bookmarkEnd w:id="260"/>
    </w:p>
    <w:p w14:paraId="5E788F26">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目前上集镇公共绿地占地较小，呈现“散点分布”，现仅有公园1处，为南湖公园，绿色空间不能满足居民的实际需要，应使上集镇镇政府驻地形成自我循环的生态化良性发展，构建乡镇与自然融合协调的绿地网络。同时以西侧南湖公园作为景观绿地中心，在居民区、商业区附近打造景观绿地，利用公共绿地的开放空间，融合居民游憩活动要求，以加强绿地系统同乡镇人文资源的有机结合，打造乡镇文化景观载体，构建更具有吸引力的乡镇开放空间体系。</w:t>
      </w:r>
    </w:p>
    <w:p w14:paraId="5188927E">
      <w:pPr>
        <w:pStyle w:val="4"/>
        <w:numPr>
          <w:ilvl w:val="1"/>
          <w:numId w:val="2"/>
        </w:numPr>
        <w:spacing w:line="600" w:lineRule="exact"/>
        <w:ind w:firstLine="640" w:firstLineChars="200"/>
        <w:rPr>
          <w:rFonts w:ascii="Times New Roman" w:hAnsi="Times New Roman" w:cs="Times New Roman"/>
          <w:b w:val="0"/>
          <w:sz w:val="32"/>
        </w:rPr>
      </w:pPr>
      <w:bookmarkStart w:id="261" w:name="_Toc31678"/>
      <w:bookmarkStart w:id="262" w:name="_Toc17017"/>
      <w:bookmarkStart w:id="263" w:name="_Toc17393"/>
      <w:bookmarkStart w:id="264" w:name="_Toc9767"/>
      <w:bookmarkStart w:id="265" w:name="_Toc23292"/>
      <w:r>
        <w:rPr>
          <w:rFonts w:hint="eastAsia" w:ascii="Times New Roman" w:hAnsi="Times New Roman" w:cs="Times New Roman"/>
          <w:b w:val="0"/>
          <w:sz w:val="32"/>
        </w:rPr>
        <w:t>完善道路与交通设施</w:t>
      </w:r>
      <w:bookmarkEnd w:id="261"/>
      <w:bookmarkEnd w:id="262"/>
      <w:bookmarkEnd w:id="263"/>
      <w:bookmarkEnd w:id="264"/>
      <w:bookmarkEnd w:id="265"/>
    </w:p>
    <w:p w14:paraId="2D698B18">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66" w:name="_Toc31605"/>
      <w:r>
        <w:rPr>
          <w:rFonts w:hint="eastAsia" w:ascii="Times New Roman" w:hAnsi="Times New Roman" w:eastAsia="楷体" w:cs="Times New Roman"/>
          <w:sz w:val="32"/>
          <w:szCs w:val="24"/>
        </w:rPr>
        <w:t xml:space="preserve"> 路网结构</w:t>
      </w:r>
      <w:bookmarkEnd w:id="266"/>
    </w:p>
    <w:p w14:paraId="5EDC97F5">
      <w:pPr>
        <w:pStyle w:val="32"/>
        <w:ind w:firstLine="640"/>
      </w:pPr>
      <w:r>
        <w:rPr>
          <w:rFonts w:hint="eastAsia" w:eastAsia="仿宋GB2312" w:cs="仿宋"/>
          <w:color w:val="000000"/>
          <w:kern w:val="0"/>
          <w:szCs w:val="32"/>
          <w:lang w:bidi="ar"/>
        </w:rPr>
        <w:t>镇政府驻地内现状的主要道路是县道303、县道171和乡道015。其他均为巷路分别与该主路相连，形成上集镇镇政府驻地的基本道路网络。至规划期末，上集镇镇政府驻地依据现状特点和用地布局确定完善路网结构，规划政府驻地干道形成“四纵两横”的道路网结构。</w:t>
      </w:r>
    </w:p>
    <w:p w14:paraId="698624EB">
      <w:pPr>
        <w:pStyle w:val="32"/>
        <w:ind w:firstLine="640"/>
        <w:rPr>
          <w:rFonts w:eastAsia="仿宋GB2312" w:cs="仿宋"/>
          <w:color w:val="000000"/>
          <w:kern w:val="0"/>
          <w:szCs w:val="32"/>
          <w:lang w:bidi="ar"/>
        </w:rPr>
      </w:pPr>
      <w:bookmarkStart w:id="267" w:name="_Hlk150962129"/>
      <w:r>
        <w:rPr>
          <w:rFonts w:hint="eastAsia" w:ascii="楷体" w:hAnsi="楷体" w:eastAsia="楷体" w:cs="楷体"/>
          <w:color w:val="000000"/>
          <w:kern w:val="0"/>
          <w:szCs w:val="32"/>
          <w:lang w:bidi="ar"/>
        </w:rPr>
        <w:t>“四纵”：</w:t>
      </w:r>
      <w:r>
        <w:rPr>
          <w:rFonts w:hint="eastAsia" w:eastAsia="仿宋GB2312" w:cs="仿宋"/>
          <w:color w:val="000000"/>
          <w:kern w:val="0"/>
          <w:szCs w:val="32"/>
          <w:lang w:bidi="ar"/>
        </w:rPr>
        <w:t>由西至东依次为：西环路、西二路、县道303和东二路。</w:t>
      </w:r>
    </w:p>
    <w:p w14:paraId="268EF284">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“两横”：</w:t>
      </w:r>
      <w:r>
        <w:rPr>
          <w:rFonts w:hint="eastAsia" w:eastAsia="仿宋GB2312" w:cs="仿宋"/>
          <w:color w:val="000000"/>
          <w:kern w:val="0"/>
          <w:szCs w:val="32"/>
          <w:lang w:bidi="ar"/>
        </w:rPr>
        <w:t>十字街、县道171</w:t>
      </w:r>
      <w:bookmarkEnd w:id="267"/>
      <w:r>
        <w:rPr>
          <w:rFonts w:hint="eastAsia" w:eastAsia="仿宋GB2312" w:cs="仿宋"/>
          <w:color w:val="000000"/>
          <w:kern w:val="0"/>
          <w:szCs w:val="32"/>
          <w:lang w:bidi="ar"/>
        </w:rPr>
        <w:t>。</w:t>
      </w:r>
    </w:p>
    <w:p w14:paraId="5207360D">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68" w:name="_Toc23485"/>
      <w:r>
        <w:rPr>
          <w:rFonts w:hint="eastAsia" w:ascii="Times New Roman" w:hAnsi="Times New Roman" w:eastAsia="楷体" w:cs="Times New Roman"/>
          <w:sz w:val="32"/>
          <w:szCs w:val="24"/>
        </w:rPr>
        <w:t xml:space="preserve"> 道路等级</w:t>
      </w:r>
      <w:bookmarkEnd w:id="268"/>
    </w:p>
    <w:p w14:paraId="5FC2A61E">
      <w:pPr>
        <w:pStyle w:val="32"/>
        <w:ind w:firstLine="640"/>
        <w:rPr>
          <w:rFonts w:eastAsia="仿宋GB2312" w:cs="仿宋"/>
          <w:color w:val="000000"/>
          <w:kern w:val="0"/>
          <w:szCs w:val="32"/>
          <w:lang w:bidi="ar"/>
        </w:rPr>
      </w:pPr>
      <w:r>
        <w:rPr>
          <w:rFonts w:hint="eastAsia" w:eastAsia="仿宋GB2312" w:cs="仿宋"/>
          <w:color w:val="000000"/>
          <w:kern w:val="0"/>
          <w:szCs w:val="32"/>
          <w:lang w:bidi="ar"/>
        </w:rPr>
        <w:t>镇政府驻地范围内道路等级分为主干路、次干路和支路。</w:t>
      </w:r>
    </w:p>
    <w:p w14:paraId="3D24B79B">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主干路：</w:t>
      </w:r>
      <w:r>
        <w:rPr>
          <w:rFonts w:hint="eastAsia" w:eastAsia="仿宋GB2312" w:cs="仿宋"/>
          <w:color w:val="000000"/>
          <w:kern w:val="0"/>
          <w:szCs w:val="32"/>
          <w:lang w:bidi="ar"/>
        </w:rPr>
        <w:t>为国道333、省道510。主要承担各功能区间的联系作用。</w:t>
      </w:r>
    </w:p>
    <w:p w14:paraId="36C983D2">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次干路：</w:t>
      </w:r>
      <w:r>
        <w:rPr>
          <w:rFonts w:hint="eastAsia" w:eastAsia="仿宋GB2312" w:cs="仿宋"/>
          <w:color w:val="000000"/>
          <w:kern w:val="0"/>
          <w:szCs w:val="32"/>
          <w:lang w:bidi="ar"/>
        </w:rPr>
        <w:t>为县道202、县道303。连接国道、省道和镇政府驻地各片区的道路。</w:t>
      </w:r>
    </w:p>
    <w:p w14:paraId="3390D6E0">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支路：</w:t>
      </w:r>
      <w:r>
        <w:rPr>
          <w:rFonts w:hint="eastAsia" w:eastAsia="仿宋GB2312" w:cs="仿宋"/>
          <w:color w:val="000000"/>
          <w:kern w:val="0"/>
          <w:szCs w:val="32"/>
          <w:lang w:bidi="ar"/>
        </w:rPr>
        <w:t>为镇政府驻地各片区内的道路。</w:t>
      </w:r>
    </w:p>
    <w:p w14:paraId="6140CEFF">
      <w:pPr>
        <w:pStyle w:val="4"/>
        <w:numPr>
          <w:ilvl w:val="1"/>
          <w:numId w:val="2"/>
        </w:numPr>
        <w:spacing w:line="600" w:lineRule="exact"/>
        <w:ind w:firstLine="640" w:firstLineChars="200"/>
        <w:rPr>
          <w:rFonts w:ascii="Times New Roman" w:hAnsi="Times New Roman" w:cs="Times New Roman"/>
          <w:b w:val="0"/>
          <w:sz w:val="32"/>
        </w:rPr>
      </w:pPr>
      <w:bookmarkStart w:id="269" w:name="_Toc25760"/>
      <w:bookmarkStart w:id="270" w:name="_Toc15824"/>
      <w:bookmarkStart w:id="271" w:name="_Toc5122"/>
      <w:bookmarkStart w:id="272" w:name="_Toc7680"/>
      <w:bookmarkStart w:id="273" w:name="_Toc29627"/>
      <w:bookmarkStart w:id="274" w:name="_Toc22214"/>
      <w:r>
        <w:rPr>
          <w:rFonts w:hint="eastAsia" w:ascii="Times New Roman" w:hAnsi="Times New Roman" w:cs="Times New Roman"/>
          <w:b w:val="0"/>
          <w:sz w:val="32"/>
        </w:rPr>
        <w:t>提升公共服务水平</w:t>
      </w:r>
      <w:bookmarkEnd w:id="269"/>
      <w:bookmarkEnd w:id="270"/>
      <w:bookmarkEnd w:id="271"/>
      <w:bookmarkEnd w:id="272"/>
      <w:bookmarkEnd w:id="273"/>
      <w:bookmarkEnd w:id="274"/>
    </w:p>
    <w:p w14:paraId="0F65ED5C">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75" w:name="_Toc10866"/>
      <w:r>
        <w:rPr>
          <w:rFonts w:hint="eastAsia" w:ascii="Times New Roman" w:hAnsi="Times New Roman" w:eastAsia="楷体" w:cs="Times New Roman"/>
          <w:sz w:val="32"/>
          <w:szCs w:val="24"/>
        </w:rPr>
        <w:t xml:space="preserve"> 发展目标</w:t>
      </w:r>
      <w:bookmarkEnd w:id="275"/>
    </w:p>
    <w:p w14:paraId="17240D19">
      <w:pPr>
        <w:spacing w:line="600" w:lineRule="exact"/>
        <w:ind w:firstLine="640"/>
        <w:rPr>
          <w:rFonts w:eastAsia="仿宋GB2312" w:cs="仿宋"/>
          <w:color w:val="000000"/>
          <w:kern w:val="0"/>
          <w:szCs w:val="32"/>
          <w:lang w:bidi="ar"/>
        </w:rPr>
      </w:pPr>
      <w:r>
        <w:rPr>
          <w:rFonts w:hint="eastAsia" w:ascii="Times New Roman" w:hAnsi="Times New Roman" w:eastAsia="仿宋GB2312"/>
          <w:color w:val="000000"/>
          <w:kern w:val="0"/>
          <w:sz w:val="32"/>
          <w:szCs w:val="32"/>
          <w:lang w:bidi="ar"/>
        </w:rPr>
        <w:t>根据经济、社会、自然、技术等多种因素，确定公共建筑指标。以科学为依据，从实际出发，合理配置，完善公建服务体系。合理组织公共服务设施的布局，满足居民生活的需要。同时注重公共服务设施的职能与协作关系上的协调统一，使公共服务设施与其它功能有机组合。</w:t>
      </w:r>
    </w:p>
    <w:p w14:paraId="0BA6F0D1">
      <w:pPr>
        <w:pStyle w:val="2"/>
        <w:spacing w:line="600" w:lineRule="exact"/>
        <w:ind w:firstLine="640"/>
        <w:rPr>
          <w:rFonts w:ascii="Times New Roman" w:hAnsi="Times New Roman" w:eastAsia="仿宋GB2312"/>
          <w:color w:val="000000"/>
          <w:kern w:val="0"/>
          <w:sz w:val="32"/>
          <w:szCs w:val="32"/>
          <w:lang w:bidi="ar"/>
        </w:rPr>
      </w:pPr>
    </w:p>
    <w:p w14:paraId="7F4591C6">
      <w:pPr>
        <w:pStyle w:val="2"/>
        <w:spacing w:line="600" w:lineRule="exact"/>
        <w:ind w:firstLine="640"/>
        <w:rPr>
          <w:rFonts w:ascii="Times New Roman" w:hAnsi="Times New Roman" w:eastAsia="仿宋GB2312"/>
          <w:color w:val="000000"/>
          <w:kern w:val="0"/>
          <w:sz w:val="32"/>
          <w:szCs w:val="32"/>
          <w:lang w:bidi="ar"/>
        </w:rPr>
      </w:pPr>
    </w:p>
    <w:p w14:paraId="0B0BF653">
      <w:pPr>
        <w:pStyle w:val="2"/>
        <w:spacing w:line="600" w:lineRule="exact"/>
        <w:ind w:firstLine="640"/>
        <w:rPr>
          <w:rFonts w:ascii="Times New Roman" w:hAnsi="Times New Roman" w:eastAsia="仿宋GB2312"/>
          <w:color w:val="000000"/>
          <w:kern w:val="0"/>
          <w:sz w:val="32"/>
          <w:szCs w:val="32"/>
          <w:lang w:bidi="ar"/>
        </w:rPr>
      </w:pPr>
    </w:p>
    <w:p w14:paraId="6C9F0057">
      <w:pPr>
        <w:pStyle w:val="2"/>
        <w:spacing w:line="600" w:lineRule="exact"/>
        <w:ind w:firstLine="640"/>
        <w:rPr>
          <w:rFonts w:ascii="Times New Roman" w:hAnsi="Times New Roman" w:eastAsia="仿宋GB2312"/>
          <w:color w:val="000000"/>
          <w:kern w:val="0"/>
          <w:sz w:val="32"/>
          <w:szCs w:val="32"/>
          <w:lang w:bidi="ar"/>
        </w:rPr>
      </w:pPr>
    </w:p>
    <w:p w14:paraId="096791F2">
      <w:pPr>
        <w:pStyle w:val="2"/>
        <w:spacing w:line="600" w:lineRule="exact"/>
        <w:ind w:firstLine="640"/>
        <w:rPr>
          <w:rFonts w:ascii="Times New Roman" w:hAnsi="Times New Roman" w:eastAsia="仿宋GB2312"/>
          <w:color w:val="000000"/>
          <w:kern w:val="0"/>
          <w:sz w:val="32"/>
          <w:szCs w:val="32"/>
          <w:lang w:bidi="ar"/>
        </w:rPr>
      </w:pPr>
    </w:p>
    <w:p w14:paraId="46483F7E">
      <w:pPr>
        <w:pStyle w:val="2"/>
        <w:spacing w:line="600" w:lineRule="exact"/>
        <w:ind w:firstLine="640"/>
        <w:rPr>
          <w:rFonts w:ascii="Times New Roman" w:hAnsi="Times New Roman" w:eastAsia="仿宋GB2312"/>
          <w:color w:val="000000"/>
          <w:kern w:val="0"/>
          <w:sz w:val="32"/>
          <w:szCs w:val="32"/>
          <w:lang w:bidi="ar"/>
        </w:rPr>
      </w:pPr>
    </w:p>
    <w:p w14:paraId="0565D856">
      <w:pPr>
        <w:pStyle w:val="2"/>
        <w:spacing w:line="600" w:lineRule="exact"/>
        <w:ind w:firstLine="640"/>
        <w:rPr>
          <w:rFonts w:ascii="Times New Roman" w:hAnsi="Times New Roman" w:eastAsia="仿宋GB2312"/>
          <w:color w:val="000000"/>
          <w:kern w:val="0"/>
          <w:sz w:val="32"/>
          <w:szCs w:val="32"/>
          <w:lang w:bidi="ar"/>
        </w:rPr>
      </w:pPr>
    </w:p>
    <w:p w14:paraId="1F62E1F3">
      <w:pPr>
        <w:pStyle w:val="2"/>
        <w:spacing w:line="600" w:lineRule="exact"/>
        <w:ind w:firstLine="640"/>
        <w:rPr>
          <w:rFonts w:ascii="Times New Roman" w:hAnsi="Times New Roman" w:eastAsia="仿宋GB2312"/>
          <w:color w:val="000000"/>
          <w:kern w:val="0"/>
          <w:sz w:val="32"/>
          <w:szCs w:val="32"/>
          <w:lang w:bidi="ar"/>
        </w:rPr>
      </w:pPr>
    </w:p>
    <w:p w14:paraId="7B01E319">
      <w:pPr>
        <w:pStyle w:val="2"/>
        <w:spacing w:line="600" w:lineRule="exact"/>
        <w:ind w:firstLine="640"/>
        <w:rPr>
          <w:rFonts w:ascii="Times New Roman" w:hAnsi="Times New Roman" w:eastAsia="仿宋GB2312"/>
          <w:color w:val="000000"/>
          <w:kern w:val="0"/>
          <w:sz w:val="32"/>
          <w:szCs w:val="32"/>
          <w:lang w:bidi="ar"/>
        </w:rPr>
      </w:pPr>
    </w:p>
    <w:p w14:paraId="0C94A8C2">
      <w:pPr>
        <w:pStyle w:val="2"/>
        <w:spacing w:line="600" w:lineRule="exact"/>
        <w:ind w:firstLine="640"/>
        <w:rPr>
          <w:rFonts w:ascii="Times New Roman" w:hAnsi="Times New Roman" w:eastAsia="仿宋GB2312"/>
          <w:color w:val="000000"/>
          <w:kern w:val="0"/>
          <w:sz w:val="32"/>
          <w:szCs w:val="32"/>
          <w:lang w:bidi="ar"/>
        </w:rPr>
      </w:pPr>
    </w:p>
    <w:p w14:paraId="73768079">
      <w:pPr>
        <w:pStyle w:val="2"/>
        <w:spacing w:line="600" w:lineRule="exact"/>
        <w:ind w:firstLine="640"/>
        <w:rPr>
          <w:rFonts w:ascii="Times New Roman" w:hAnsi="Times New Roman" w:eastAsia="仿宋GB2312"/>
          <w:color w:val="000000"/>
          <w:kern w:val="0"/>
          <w:sz w:val="32"/>
          <w:szCs w:val="32"/>
          <w:lang w:bidi="ar"/>
        </w:rPr>
      </w:pPr>
    </w:p>
    <w:p w14:paraId="6D2A6638">
      <w:pPr>
        <w:pStyle w:val="2"/>
        <w:spacing w:line="600" w:lineRule="exact"/>
        <w:ind w:firstLine="640"/>
        <w:rPr>
          <w:rFonts w:ascii="Times New Roman" w:hAnsi="Times New Roman" w:eastAsia="仿宋GB2312"/>
          <w:color w:val="000000"/>
          <w:kern w:val="0"/>
          <w:sz w:val="32"/>
          <w:szCs w:val="32"/>
          <w:lang w:bidi="ar"/>
        </w:rPr>
      </w:pPr>
    </w:p>
    <w:p w14:paraId="500984B8">
      <w:pPr>
        <w:pStyle w:val="2"/>
        <w:spacing w:line="600" w:lineRule="exact"/>
        <w:ind w:left="0" w:leftChars="0" w:firstLine="0" w:firstLineChars="0"/>
        <w:rPr>
          <w:rFonts w:ascii="Times New Roman" w:hAnsi="Times New Roman" w:eastAsia="仿宋GB2312"/>
          <w:color w:val="000000"/>
          <w:kern w:val="0"/>
          <w:sz w:val="32"/>
          <w:szCs w:val="32"/>
          <w:lang w:bidi="ar"/>
        </w:rPr>
      </w:pPr>
    </w:p>
    <w:p w14:paraId="04818853">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rPr>
      </w:pPr>
      <w:bookmarkStart w:id="276" w:name="_Toc24572"/>
      <w:bookmarkStart w:id="277" w:name="_Toc18276"/>
      <w:bookmarkStart w:id="278" w:name="_Toc17449"/>
      <w:bookmarkStart w:id="279" w:name="_Toc13652"/>
      <w:bookmarkStart w:id="280" w:name="_Toc18667"/>
      <w:bookmarkStart w:id="281" w:name="_Toc2032"/>
      <w:bookmarkStart w:id="282" w:name="_Toc24023"/>
      <w:r>
        <w:rPr>
          <w:rFonts w:hint="eastAsia" w:ascii="Times New Roman" w:hAnsi="Times New Roman" w:eastAsia="方正小标宋简体" w:cs="方正小标宋简体"/>
          <w:b w:val="0"/>
          <w:bCs w:val="0"/>
          <w:sz w:val="36"/>
          <w:szCs w:val="36"/>
          <w:lang w:val="en-US" w:eastAsia="zh-CN"/>
        </w:rPr>
        <w:t>基础</w:t>
      </w:r>
      <w:r>
        <w:rPr>
          <w:rFonts w:hint="eastAsia" w:ascii="Times New Roman" w:hAnsi="Times New Roman" w:eastAsia="方正小标宋简体" w:cs="方正小标宋简体"/>
          <w:b w:val="0"/>
          <w:bCs w:val="0"/>
          <w:sz w:val="36"/>
          <w:szCs w:val="36"/>
        </w:rPr>
        <w:t>保障体系</w:t>
      </w:r>
      <w:bookmarkEnd w:id="276"/>
      <w:bookmarkEnd w:id="277"/>
      <w:bookmarkEnd w:id="278"/>
      <w:bookmarkEnd w:id="279"/>
      <w:bookmarkEnd w:id="280"/>
      <w:bookmarkEnd w:id="281"/>
      <w:bookmarkEnd w:id="282"/>
    </w:p>
    <w:p w14:paraId="3A8618A0">
      <w:pPr>
        <w:pStyle w:val="4"/>
        <w:numPr>
          <w:ilvl w:val="1"/>
          <w:numId w:val="4"/>
        </w:numPr>
        <w:spacing w:line="600" w:lineRule="exact"/>
        <w:ind w:firstLine="640" w:firstLineChars="200"/>
        <w:rPr>
          <w:rFonts w:ascii="Times New Roman" w:hAnsi="Times New Roman" w:cs="Times New Roman"/>
          <w:b w:val="0"/>
          <w:sz w:val="32"/>
        </w:rPr>
      </w:pPr>
      <w:bookmarkStart w:id="283" w:name="_Toc303"/>
      <w:bookmarkStart w:id="284" w:name="_Toc20126"/>
      <w:bookmarkStart w:id="285" w:name="_Toc3175"/>
      <w:bookmarkStart w:id="286" w:name="_Toc6129"/>
      <w:bookmarkStart w:id="287" w:name="_Toc3977"/>
      <w:bookmarkStart w:id="288" w:name="_Toc2082"/>
      <w:bookmarkStart w:id="289" w:name="_Toc21628"/>
      <w:r>
        <w:rPr>
          <w:rFonts w:hint="eastAsia" w:ascii="Times New Roman" w:hAnsi="Times New Roman" w:cs="Times New Roman"/>
          <w:b w:val="0"/>
          <w:sz w:val="32"/>
        </w:rPr>
        <w:t>综合交通体系</w:t>
      </w:r>
      <w:bookmarkEnd w:id="283"/>
      <w:bookmarkEnd w:id="284"/>
      <w:bookmarkEnd w:id="285"/>
      <w:bookmarkEnd w:id="286"/>
      <w:bookmarkEnd w:id="287"/>
      <w:bookmarkEnd w:id="288"/>
      <w:bookmarkEnd w:id="289"/>
    </w:p>
    <w:p w14:paraId="17528959">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290" w:name="_Toc1933"/>
      <w:bookmarkStart w:id="291" w:name="_Toc26380"/>
      <w:bookmarkStart w:id="292" w:name="_Toc10225"/>
      <w:bookmarkStart w:id="293" w:name="_Toc25894"/>
      <w:bookmarkStart w:id="294" w:name="_Toc26997"/>
      <w:bookmarkStart w:id="295" w:name="_Toc4440"/>
      <w:bookmarkStart w:id="296" w:name="_Toc26189"/>
      <w:bookmarkStart w:id="297" w:name="_Toc6143"/>
      <w:bookmarkStart w:id="298" w:name="_Toc11817"/>
      <w:bookmarkStart w:id="299" w:name="_Toc21603"/>
      <w:bookmarkStart w:id="300" w:name="_Toc27138"/>
      <w:r>
        <w:rPr>
          <w:rFonts w:hint="eastAsia" w:ascii="Times New Roman" w:hAnsi="Times New Roman" w:eastAsia="楷体" w:cs="Times New Roman"/>
          <w:sz w:val="32"/>
          <w:szCs w:val="24"/>
        </w:rPr>
        <w:t xml:space="preserve"> 公路交通现状概况</w:t>
      </w:r>
      <w:bookmarkEnd w:id="290"/>
      <w:bookmarkEnd w:id="291"/>
      <w:bookmarkEnd w:id="292"/>
      <w:bookmarkEnd w:id="293"/>
      <w:bookmarkEnd w:id="294"/>
      <w:bookmarkEnd w:id="295"/>
      <w:bookmarkEnd w:id="296"/>
    </w:p>
    <w:p w14:paraId="748682C9">
      <w:pPr>
        <w:pStyle w:val="32"/>
        <w:ind w:firstLine="640"/>
        <w:rPr>
          <w:rFonts w:eastAsia="仿宋GB2312" w:cs="仿宋"/>
          <w:color w:val="000000"/>
          <w:kern w:val="0"/>
          <w:szCs w:val="32"/>
          <w:lang w:bidi="ar"/>
        </w:rPr>
      </w:pPr>
      <w:r>
        <w:rPr>
          <w:rFonts w:hint="eastAsia" w:eastAsia="仿宋GB2312" w:cs="仿宋"/>
          <w:color w:val="000000"/>
          <w:kern w:val="0"/>
          <w:szCs w:val="32"/>
          <w:lang w:bidi="ar"/>
        </w:rPr>
        <w:t>目前上集镇有九个行政村，交通干线包括国道333、省道510；另有县道171以及乡道201、乡道001、乡道014、乡道202等各类支线道路。</w:t>
      </w:r>
    </w:p>
    <w:p w14:paraId="04F877B4">
      <w:pPr>
        <w:pStyle w:val="32"/>
        <w:ind w:firstLine="640"/>
        <w:rPr>
          <w:rFonts w:eastAsia="仿宋GB2312" w:cs="仿宋"/>
          <w:color w:val="000000"/>
          <w:kern w:val="0"/>
          <w:szCs w:val="32"/>
          <w:lang w:bidi="ar"/>
        </w:rPr>
      </w:pPr>
      <w:r>
        <w:rPr>
          <w:rFonts w:hint="eastAsia" w:eastAsia="仿宋GB2312" w:cs="仿宋"/>
          <w:color w:val="000000"/>
          <w:kern w:val="0"/>
          <w:szCs w:val="32"/>
          <w:lang w:bidi="ar"/>
        </w:rPr>
        <w:t>其中国道333线由北向南贯穿上集镇，县道171总体上由西北向东南，由北向南贯穿着整个政府驻地，而乡道001连接着省道510，由北向南穿过上集镇政府驻地。全镇共有九个行政村。目前各个村屯之间已经实现道路硬化，但多数内部道路路况不佳，存在坑洼、颠簸、路面较窄等问题。</w:t>
      </w:r>
    </w:p>
    <w:p w14:paraId="54147161">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301" w:name="_Toc28834"/>
      <w:bookmarkStart w:id="302" w:name="_Toc15921"/>
      <w:bookmarkStart w:id="303" w:name="_Toc3421"/>
      <w:bookmarkStart w:id="304" w:name="_Toc19154"/>
      <w:bookmarkStart w:id="305" w:name="_Toc18472"/>
      <w:bookmarkStart w:id="306" w:name="_Toc15136"/>
      <w:bookmarkStart w:id="307" w:name="_Toc26149"/>
      <w:r>
        <w:rPr>
          <w:rFonts w:hint="eastAsia" w:ascii="Times New Roman" w:hAnsi="Times New Roman" w:eastAsia="楷体" w:cs="Times New Roman"/>
          <w:sz w:val="32"/>
          <w:szCs w:val="24"/>
        </w:rPr>
        <w:t xml:space="preserve"> 发展目标与策略</w:t>
      </w:r>
      <w:bookmarkEnd w:id="301"/>
    </w:p>
    <w:p w14:paraId="28C35ADB">
      <w:pPr>
        <w:pStyle w:val="2"/>
        <w:spacing w:line="600" w:lineRule="exact"/>
        <w:ind w:firstLine="640"/>
        <w:rPr>
          <w:rFonts w:ascii="Times New Roman" w:hAnsi="Times New Roman" w:eastAsia="仿宋GB2312"/>
          <w:color w:val="000000"/>
          <w:kern w:val="0"/>
          <w:sz w:val="32"/>
          <w:szCs w:val="32"/>
          <w:lang w:bidi="ar"/>
        </w:rPr>
      </w:pPr>
      <w:r>
        <w:rPr>
          <w:rFonts w:hint="eastAsia" w:ascii="楷体" w:hAnsi="楷体" w:eastAsia="楷体" w:cs="楷体"/>
          <w:color w:val="000000"/>
          <w:kern w:val="0"/>
          <w:sz w:val="32"/>
          <w:szCs w:val="32"/>
          <w:lang w:bidi="ar"/>
        </w:rPr>
        <w:t>优化镇村公路网。</w:t>
      </w:r>
      <w:r>
        <w:rPr>
          <w:rFonts w:hint="eastAsia" w:ascii="Times New Roman" w:hAnsi="Times New Roman" w:eastAsia="仿宋GB2312"/>
          <w:color w:val="000000"/>
          <w:kern w:val="0"/>
          <w:sz w:val="32"/>
          <w:szCs w:val="32"/>
          <w:lang w:bidi="ar"/>
        </w:rPr>
        <w:t>持续推进“四好农村路”高质量发展，有序推进农村公路整体技术等级提升，保持农村公路经济节点通畅。截至规划期末，上集镇实现镇域内道路交通系统完善畅通。</w:t>
      </w:r>
    </w:p>
    <w:bookmarkEnd w:id="302"/>
    <w:bookmarkEnd w:id="303"/>
    <w:bookmarkEnd w:id="304"/>
    <w:bookmarkEnd w:id="305"/>
    <w:bookmarkEnd w:id="306"/>
    <w:bookmarkEnd w:id="307"/>
    <w:p w14:paraId="5CAD01D9">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308" w:name="_Toc17603"/>
      <w:r>
        <w:rPr>
          <w:rFonts w:hint="eastAsia" w:ascii="Times New Roman" w:hAnsi="Times New Roman" w:eastAsia="楷体" w:cs="Times New Roman"/>
          <w:sz w:val="32"/>
          <w:szCs w:val="24"/>
        </w:rPr>
        <w:t xml:space="preserve"> 对外交通</w:t>
      </w:r>
      <w:bookmarkEnd w:id="308"/>
    </w:p>
    <w:p w14:paraId="62639C1D">
      <w:pPr>
        <w:pStyle w:val="32"/>
        <w:ind w:firstLine="640"/>
        <w:rPr>
          <w:rFonts w:eastAsia="仿宋GB2312" w:cs="仿宋"/>
          <w:color w:val="000000"/>
          <w:kern w:val="0"/>
          <w:szCs w:val="32"/>
          <w:lang w:bidi="ar"/>
        </w:rPr>
      </w:pPr>
      <w:r>
        <w:rPr>
          <w:rFonts w:hint="eastAsia" w:ascii="楷体" w:hAnsi="楷体" w:eastAsia="楷体" w:cs="楷体"/>
          <w:color w:val="000000"/>
          <w:kern w:val="0"/>
          <w:szCs w:val="32"/>
          <w:lang w:bidi="ar"/>
        </w:rPr>
        <w:t>优化道路布局和设计：</w:t>
      </w:r>
      <w:r>
        <w:rPr>
          <w:rFonts w:hint="eastAsia" w:eastAsia="仿宋GB2312" w:cs="仿宋"/>
          <w:color w:val="000000"/>
          <w:kern w:val="0"/>
          <w:szCs w:val="32"/>
          <w:lang w:bidi="ar"/>
        </w:rPr>
        <w:t>形成“1+X”的交通布局。国道333由西北向东南延伸，形成“1”的布局，县道171、省道510形成“X”的公路网络格局。通过重新规划、改建、扩建村庄支线道路，完善并拓宽农村公路，重点优化各个行政村之间以及与政府驻地之间道路的质量，同时加强各村交通线的连接。</w:t>
      </w:r>
    </w:p>
    <w:p w14:paraId="7E99683D">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309" w:name="_Toc20083"/>
      <w:r>
        <w:rPr>
          <w:rFonts w:hint="eastAsia" w:ascii="Times New Roman" w:hAnsi="Times New Roman" w:eastAsia="楷体" w:cs="Times New Roman"/>
          <w:sz w:val="32"/>
          <w:szCs w:val="24"/>
        </w:rPr>
        <w:t xml:space="preserve"> 其它设施</w:t>
      </w:r>
      <w:bookmarkEnd w:id="309"/>
    </w:p>
    <w:p w14:paraId="3965AC4E">
      <w:pPr>
        <w:widowControl/>
        <w:spacing w:line="600" w:lineRule="exact"/>
        <w:ind w:firstLine="640"/>
        <w:rPr>
          <w:rFonts w:ascii="Times New Roman" w:hAnsi="Times New Roman" w:eastAsia="仿宋GB2312"/>
          <w:color w:val="000000"/>
          <w:kern w:val="0"/>
          <w:sz w:val="32"/>
          <w:szCs w:val="32"/>
          <w:lang w:bidi="ar"/>
        </w:rPr>
      </w:pPr>
      <w:r>
        <w:rPr>
          <w:rFonts w:hint="eastAsia" w:ascii="楷体" w:hAnsi="楷体" w:eastAsia="楷体" w:cs="楷体"/>
          <w:color w:val="000000"/>
          <w:kern w:val="0"/>
          <w:sz w:val="32"/>
          <w:szCs w:val="32"/>
          <w:lang w:bidi="ar"/>
        </w:rPr>
        <w:t>完善公共交通：</w:t>
      </w:r>
      <w:r>
        <w:rPr>
          <w:rFonts w:hint="eastAsia" w:ascii="Times New Roman" w:hAnsi="Times New Roman" w:eastAsia="仿宋GB2312"/>
          <w:color w:val="000000"/>
          <w:kern w:val="0"/>
          <w:sz w:val="32"/>
          <w:szCs w:val="32"/>
          <w:lang w:bidi="ar"/>
        </w:rPr>
        <w:t>规划到2035年完善覆盖全镇域的公共交通网络体系，加强全镇域内公共汽车运营管理，提升运营服务质量，增加公共汽车班次和覆盖范围，优化路线布局，同时规划在各个行政村设立公交停靠站。</w:t>
      </w:r>
    </w:p>
    <w:p w14:paraId="3443FE11">
      <w:pPr>
        <w:widowControl/>
        <w:spacing w:line="600" w:lineRule="exact"/>
        <w:ind w:firstLine="632"/>
        <w:rPr>
          <w:rFonts w:hint="eastAsia" w:ascii="方正仿宋_GB2312" w:hAnsi="方正仿宋_GB2312" w:eastAsia="方正仿宋_GB2312" w:cs="方正仿宋_GB2312"/>
          <w:snapToGrid w:val="0"/>
          <w:color w:val="000000"/>
          <w:spacing w:val="-2"/>
          <w:kern w:val="0"/>
          <w:sz w:val="32"/>
          <w:szCs w:val="32"/>
        </w:rPr>
      </w:pPr>
    </w:p>
    <w:p w14:paraId="74EEE370">
      <w:pPr>
        <w:pStyle w:val="4"/>
        <w:numPr>
          <w:ilvl w:val="1"/>
          <w:numId w:val="4"/>
        </w:numPr>
        <w:spacing w:line="600" w:lineRule="exact"/>
        <w:ind w:firstLine="640" w:firstLineChars="200"/>
        <w:rPr>
          <w:rFonts w:ascii="Times New Roman" w:hAnsi="Times New Roman" w:cs="Times New Roman"/>
          <w:b w:val="0"/>
          <w:sz w:val="32"/>
        </w:rPr>
      </w:pPr>
      <w:bookmarkStart w:id="310" w:name="_Toc16670"/>
      <w:bookmarkStart w:id="311" w:name="_Toc17053"/>
      <w:bookmarkStart w:id="312" w:name="_Toc28948"/>
      <w:bookmarkStart w:id="313" w:name="_Toc25881"/>
      <w:bookmarkStart w:id="314" w:name="_Toc23613"/>
      <w:bookmarkStart w:id="315" w:name="_Toc24787"/>
      <w:bookmarkStart w:id="316" w:name="_Toc6241"/>
      <w:bookmarkStart w:id="317" w:name="_Toc1980"/>
      <w:bookmarkStart w:id="318" w:name="_Toc8782"/>
      <w:bookmarkStart w:id="319" w:name="_Toc21988"/>
      <w:bookmarkStart w:id="320" w:name="_Toc20287"/>
      <w:bookmarkStart w:id="321" w:name="_Toc23804"/>
      <w:bookmarkStart w:id="322" w:name="_Toc16077"/>
      <w:bookmarkStart w:id="323" w:name="_Toc29070"/>
      <w:bookmarkStart w:id="324" w:name="_Toc11860"/>
      <w:bookmarkStart w:id="325" w:name="_Toc23886"/>
      <w:r>
        <w:rPr>
          <w:rFonts w:hint="eastAsia" w:ascii="Times New Roman" w:hAnsi="Times New Roman" w:cs="Times New Roman"/>
          <w:b w:val="0"/>
          <w:sz w:val="32"/>
        </w:rPr>
        <w:t>公共服务体系</w:t>
      </w:r>
      <w:bookmarkEnd w:id="310"/>
      <w:bookmarkEnd w:id="311"/>
      <w:bookmarkEnd w:id="312"/>
      <w:bookmarkEnd w:id="313"/>
      <w:bookmarkEnd w:id="314"/>
      <w:bookmarkEnd w:id="315"/>
      <w:bookmarkEnd w:id="316"/>
      <w:bookmarkEnd w:id="317"/>
      <w:bookmarkEnd w:id="318"/>
      <w:bookmarkEnd w:id="319"/>
    </w:p>
    <w:p w14:paraId="17DA75A9">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326" w:name="_Toc2081"/>
      <w:bookmarkStart w:id="327" w:name="_Toc10341"/>
      <w:bookmarkStart w:id="328" w:name="_Toc17806"/>
      <w:bookmarkStart w:id="329" w:name="_Toc23357"/>
      <w:bookmarkStart w:id="330" w:name="_Toc16187"/>
      <w:r>
        <w:rPr>
          <w:rFonts w:hint="eastAsia" w:ascii="Times New Roman" w:hAnsi="Times New Roman" w:eastAsia="楷体" w:cs="Times New Roman"/>
          <w:sz w:val="32"/>
          <w:szCs w:val="24"/>
        </w:rPr>
        <w:t xml:space="preserve"> 公共服务设施规划布局</w:t>
      </w:r>
      <w:bookmarkEnd w:id="326"/>
      <w:bookmarkEnd w:id="327"/>
      <w:bookmarkEnd w:id="328"/>
      <w:bookmarkEnd w:id="329"/>
      <w:bookmarkEnd w:id="330"/>
    </w:p>
    <w:p w14:paraId="35E6D37A">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按照基本公共服务均等化和设施共建共享的原则，结合镇—村等级、规模、职能和服务功能等，综合考虑村民的出行距离、设施服务半径等因素，统筹配置教育、医疗、文化、体育、商业等公共服务设施，明确规划期间公共服务设施建设的主要任务和重点项目，引导村级公共服务资源优化整合，逐步实现镇村基本公共服务全覆盖。</w:t>
      </w:r>
    </w:p>
    <w:p w14:paraId="35A3D7EA">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331" w:name="_Toc4220"/>
      <w:r>
        <w:rPr>
          <w:rFonts w:hint="eastAsia" w:ascii="Times New Roman" w:hAnsi="Times New Roman" w:eastAsia="楷体" w:cs="Times New Roman"/>
          <w:sz w:val="32"/>
          <w:szCs w:val="24"/>
        </w:rPr>
        <w:t xml:space="preserve"> 公共服务设施体系配置标准</w:t>
      </w:r>
      <w:bookmarkEnd w:id="331"/>
    </w:p>
    <w:p w14:paraId="5A12E38E">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规划形成“镇—村/组”两级公共服务设施体系。基于上集镇镇村规模结构，明确分级公共服务中心体系，提升镇村公共服务能力，提出不同空间层级的各类公共服务设施的差异化配置要求，实现镇域公共服务设施均等化配置。</w:t>
      </w:r>
    </w:p>
    <w:p w14:paraId="272F91C4">
      <w:pPr>
        <w:widowControl/>
        <w:spacing w:line="600" w:lineRule="exact"/>
        <w:ind w:firstLine="640"/>
        <w:rPr>
          <w:rFonts w:hint="eastAsia" w:ascii="楷体" w:hAnsi="楷体" w:eastAsia="楷体" w:cs="楷体"/>
          <w:sz w:val="32"/>
          <w:szCs w:val="22"/>
        </w:rPr>
      </w:pPr>
      <w:bookmarkStart w:id="332" w:name="_Toc2071"/>
      <w:bookmarkStart w:id="333" w:name="_Toc28959"/>
      <w:bookmarkStart w:id="334" w:name="_Toc16094"/>
      <w:bookmarkStart w:id="335" w:name="_Toc28693"/>
      <w:r>
        <w:rPr>
          <w:rFonts w:hint="eastAsia" w:ascii="楷体" w:hAnsi="楷体" w:eastAsia="楷体" w:cs="楷体"/>
          <w:sz w:val="32"/>
          <w:szCs w:val="22"/>
        </w:rPr>
        <w:t>1、城镇社区生活圈</w:t>
      </w:r>
    </w:p>
    <w:p w14:paraId="165C22E0">
      <w:pPr>
        <w:pStyle w:val="32"/>
        <w:ind w:firstLine="640"/>
        <w:rPr>
          <w:rFonts w:eastAsia="仿宋GB2312" w:cs="仿宋"/>
          <w:color w:val="000000"/>
          <w:kern w:val="0"/>
          <w:szCs w:val="32"/>
          <w:lang w:bidi="ar"/>
        </w:rPr>
      </w:pPr>
      <w:r>
        <w:rPr>
          <w:rFonts w:hint="eastAsia" w:eastAsia="仿宋GB2312" w:cs="仿宋"/>
          <w:color w:val="000000"/>
          <w:kern w:val="0"/>
          <w:szCs w:val="32"/>
          <w:lang w:bidi="ar"/>
        </w:rPr>
        <w:t>15分钟生活圈规划。建设便民利民的15分钟城乡生活圈。宜基于镇政府驻地，结合居民生活出行特点和实际需要确定社区生活圈范围，并按照出行安全和便利的原则，尽量避免主干路、河流、山体、铁路等对其造成分割。该层级内配置面向全体乡镇居民、内容丰富、规模适宜的各类服务要素。镇政府驻地共划定1个15分钟城镇生活圈。15分钟生活圈居住区公共服务设施：初中、大型多功能活动场地、卫生服务中心、门诊部、养老院、老年养护院、文化活动中心（含青少年、老年活动中心）、社区服务中心（镇级）、街道办事处、司法所、派出所等。</w:t>
      </w:r>
    </w:p>
    <w:p w14:paraId="368A8AB7">
      <w:pPr>
        <w:pStyle w:val="32"/>
        <w:ind w:firstLine="640"/>
        <w:rPr>
          <w:rFonts w:eastAsia="仿宋GB2312" w:cs="仿宋"/>
          <w:color w:val="000000"/>
          <w:kern w:val="0"/>
          <w:szCs w:val="32"/>
          <w:lang w:bidi="ar"/>
        </w:rPr>
      </w:pPr>
      <w:r>
        <w:rPr>
          <w:rFonts w:hint="eastAsia" w:eastAsia="仿宋GB2312" w:cs="仿宋"/>
          <w:color w:val="000000"/>
          <w:kern w:val="0"/>
          <w:szCs w:val="32"/>
          <w:lang w:bidi="ar"/>
        </w:rPr>
        <w:t>10分钟生活圈规划。宜结合行政村服务范围，配置城乡居民日常使用，特别是面向老人、儿童的基本服务要素。10分钟层级服务要素宜灵活均衡布局，并与生活性街道、公共空间、绿道临近设置，保障老人、儿童的便捷、友好使用。10分钟生活圈居住区公共服务设施：中型多功能活动场地、菜市场等。</w:t>
      </w:r>
    </w:p>
    <w:p w14:paraId="4F400EB9">
      <w:pPr>
        <w:widowControl/>
        <w:spacing w:line="600" w:lineRule="exact"/>
        <w:ind w:firstLine="640"/>
        <w:rPr>
          <w:rFonts w:hint="eastAsia" w:ascii="楷体" w:hAnsi="楷体" w:eastAsia="楷体" w:cs="楷体"/>
          <w:sz w:val="32"/>
          <w:szCs w:val="22"/>
        </w:rPr>
      </w:pPr>
      <w:r>
        <w:rPr>
          <w:rFonts w:hint="eastAsia" w:ascii="楷体" w:hAnsi="楷体" w:eastAsia="楷体" w:cs="楷体"/>
          <w:sz w:val="32"/>
          <w:szCs w:val="22"/>
        </w:rPr>
        <w:t>2、村/组社区生活圈</w:t>
      </w:r>
    </w:p>
    <w:p w14:paraId="78C74A76">
      <w:pPr>
        <w:pStyle w:val="32"/>
        <w:ind w:firstLine="640"/>
        <w:rPr>
          <w:rFonts w:eastAsia="仿宋GB2312" w:cs="仿宋"/>
          <w:color w:val="000000"/>
          <w:kern w:val="0"/>
          <w:szCs w:val="32"/>
          <w:lang w:bidi="ar"/>
        </w:rPr>
      </w:pPr>
      <w:r>
        <w:rPr>
          <w:rFonts w:hint="eastAsia" w:eastAsia="仿宋GB2312" w:cs="仿宋"/>
          <w:color w:val="000000"/>
          <w:kern w:val="0"/>
          <w:szCs w:val="32"/>
          <w:lang w:bidi="ar"/>
        </w:rPr>
        <w:t>5分钟生活圈规划。宜结合自然村服务范围，配置城乡居民日常使用，特别是面向老人、儿童的基本服务要素。5分钟生活圈居住区公共服务设施：服务站（含村民组、治站、安联防残疾人康复室等社区综合服务设施）、文化活动站（含青少年活动站、老年活动站等）、幼儿园、老年日间照料中心（托老所）、社区卫生服务站等。</w:t>
      </w:r>
    </w:p>
    <w:bookmarkEnd w:id="332"/>
    <w:bookmarkEnd w:id="333"/>
    <w:bookmarkEnd w:id="334"/>
    <w:bookmarkEnd w:id="335"/>
    <w:p w14:paraId="6B99952C">
      <w:pPr>
        <w:keepNext/>
        <w:keepLines/>
        <w:numPr>
          <w:ilvl w:val="2"/>
          <w:numId w:val="2"/>
        </w:numPr>
        <w:spacing w:line="600" w:lineRule="exact"/>
        <w:ind w:firstLineChars="0"/>
        <w:jc w:val="left"/>
        <w:outlineLvl w:val="2"/>
        <w:rPr>
          <w:rFonts w:ascii="Times New Roman" w:hAnsi="Times New Roman" w:eastAsia="楷体" w:cs="Times New Roman"/>
          <w:sz w:val="32"/>
          <w:szCs w:val="24"/>
        </w:rPr>
      </w:pPr>
      <w:bookmarkStart w:id="336" w:name="_Toc28646"/>
      <w:r>
        <w:rPr>
          <w:rFonts w:hint="eastAsia" w:ascii="Times New Roman" w:hAnsi="Times New Roman" w:eastAsia="楷体" w:cs="Times New Roman"/>
          <w:sz w:val="32"/>
          <w:szCs w:val="24"/>
        </w:rPr>
        <w:t xml:space="preserve"> 公共服务设施体系布局</w:t>
      </w:r>
      <w:bookmarkEnd w:id="336"/>
    </w:p>
    <w:p w14:paraId="3C04839A">
      <w:pPr>
        <w:widowControl/>
        <w:spacing w:line="600" w:lineRule="exact"/>
        <w:ind w:firstLine="640"/>
        <w:rPr>
          <w:rFonts w:hint="eastAsia" w:ascii="楷体" w:hAnsi="楷体" w:eastAsia="楷体" w:cs="楷体"/>
          <w:sz w:val="32"/>
          <w:szCs w:val="22"/>
        </w:rPr>
      </w:pPr>
      <w:r>
        <w:rPr>
          <w:rFonts w:hint="eastAsia" w:ascii="楷体" w:hAnsi="楷体" w:eastAsia="楷体" w:cs="楷体"/>
          <w:sz w:val="32"/>
          <w:szCs w:val="22"/>
        </w:rPr>
        <w:t>1、行政管理设施</w:t>
      </w:r>
    </w:p>
    <w:p w14:paraId="4E573B3B">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镇政府驻地设置党政机关、司法机关两大方面的基础公共管理类设施。加快“放管服”向基层延伸，充分考虑群众办事习惯，各中心村设置党群服务中心或村务室。</w:t>
      </w:r>
    </w:p>
    <w:p w14:paraId="25ECE5B5">
      <w:pPr>
        <w:widowControl/>
        <w:spacing w:line="600" w:lineRule="exact"/>
        <w:ind w:firstLine="640"/>
        <w:rPr>
          <w:rFonts w:hint="eastAsia" w:ascii="楷体" w:hAnsi="楷体" w:eastAsia="楷体" w:cs="楷体"/>
          <w:sz w:val="32"/>
          <w:szCs w:val="22"/>
        </w:rPr>
      </w:pPr>
      <w:r>
        <w:rPr>
          <w:rFonts w:hint="eastAsia" w:ascii="楷体" w:hAnsi="楷体" w:eastAsia="楷体" w:cs="楷体"/>
          <w:sz w:val="32"/>
          <w:szCs w:val="22"/>
        </w:rPr>
        <w:t>2、文化设施</w:t>
      </w:r>
    </w:p>
    <w:p w14:paraId="10D7F498">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镇政府驻地保留现状文化活动用地、每个行政村规均配建文化活动室。</w:t>
      </w:r>
    </w:p>
    <w:p w14:paraId="49AA490A">
      <w:pPr>
        <w:widowControl/>
        <w:spacing w:line="600" w:lineRule="exact"/>
        <w:ind w:firstLine="640"/>
        <w:rPr>
          <w:rFonts w:hint="eastAsia" w:ascii="楷体" w:hAnsi="楷体" w:eastAsia="楷体" w:cs="楷体"/>
          <w:sz w:val="32"/>
          <w:szCs w:val="22"/>
        </w:rPr>
      </w:pPr>
      <w:r>
        <w:rPr>
          <w:rFonts w:hint="eastAsia" w:ascii="楷体" w:hAnsi="楷体" w:eastAsia="楷体" w:cs="楷体"/>
          <w:sz w:val="32"/>
          <w:szCs w:val="22"/>
        </w:rPr>
        <w:t>3、教育设施</w:t>
      </w:r>
    </w:p>
    <w:p w14:paraId="18434250">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根据人口变化趋势和区位情况，在镇政府驻地设置小学，其它行政村不配置教育设施，优化资源配置。在镇政府驻地、稻香村和天放村设置幼儿园。</w:t>
      </w:r>
    </w:p>
    <w:p w14:paraId="14852FEA">
      <w:pPr>
        <w:widowControl/>
        <w:spacing w:line="600" w:lineRule="exact"/>
        <w:ind w:firstLine="640"/>
        <w:rPr>
          <w:rFonts w:hint="eastAsia" w:ascii="楷体" w:hAnsi="楷体" w:eastAsia="楷体" w:cs="楷体"/>
          <w:sz w:val="32"/>
          <w:szCs w:val="22"/>
        </w:rPr>
      </w:pPr>
      <w:r>
        <w:rPr>
          <w:rFonts w:hint="eastAsia" w:ascii="楷体" w:hAnsi="楷体" w:eastAsia="楷体" w:cs="楷体"/>
          <w:sz w:val="32"/>
          <w:szCs w:val="22"/>
        </w:rPr>
        <w:t>4、体育设施</w:t>
      </w:r>
    </w:p>
    <w:p w14:paraId="4262658A">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大力推行全民健身计划，积极拓宽体育活动领域，搞好体育设施建设。镇政府驻地设置乡室外综合健身场地，包括多功能运动场地、健身器械、健身场所、广场舞场地等。每个行政村设置村级健身广场1处，设置篮球、羽毛球、乒乓球及其他健身器械等，可结合村委会、广场、绿地综合设置。</w:t>
      </w:r>
    </w:p>
    <w:p w14:paraId="416C2971">
      <w:pPr>
        <w:widowControl/>
        <w:spacing w:line="600" w:lineRule="exact"/>
        <w:ind w:firstLine="640"/>
        <w:rPr>
          <w:rFonts w:hint="eastAsia" w:ascii="楷体" w:hAnsi="楷体" w:eastAsia="楷体" w:cs="楷体"/>
          <w:sz w:val="32"/>
          <w:szCs w:val="22"/>
        </w:rPr>
      </w:pPr>
      <w:r>
        <w:rPr>
          <w:rFonts w:hint="eastAsia" w:ascii="楷体" w:hAnsi="楷体" w:eastAsia="楷体" w:cs="楷体"/>
          <w:sz w:val="32"/>
          <w:szCs w:val="22"/>
        </w:rPr>
        <w:t>5、医疗卫生设施</w:t>
      </w:r>
    </w:p>
    <w:p w14:paraId="4B97B69E">
      <w:pPr>
        <w:widowControl/>
        <w:spacing w:line="600" w:lineRule="exact"/>
        <w:ind w:firstLine="640"/>
        <w:rPr>
          <w:rFonts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镇政府驻地设置2处医疗卫生设施，分别位于镇政府驻地中部和西南部，为乡镇域居民提供疾病预防、医疗保健、康复、健康教育、计生等医疗卫生服务。各行政村结合现状“一村一室”条件，进行提升或改造，确保各村卫生室能满足村民就医基本需求。</w:t>
      </w:r>
    </w:p>
    <w:p w14:paraId="4E4DC9AE">
      <w:pPr>
        <w:widowControl/>
        <w:spacing w:line="600" w:lineRule="exact"/>
        <w:ind w:firstLine="640"/>
        <w:rPr>
          <w:rFonts w:hint="eastAsia" w:ascii="楷体" w:hAnsi="楷体" w:eastAsia="楷体" w:cs="楷体"/>
          <w:sz w:val="32"/>
          <w:szCs w:val="22"/>
        </w:rPr>
      </w:pPr>
      <w:r>
        <w:rPr>
          <w:rFonts w:hint="eastAsia" w:ascii="楷体" w:hAnsi="楷体" w:eastAsia="楷体" w:cs="楷体"/>
          <w:sz w:val="32"/>
          <w:szCs w:val="22"/>
        </w:rPr>
        <w:t>6、养老服务设施</w:t>
      </w:r>
    </w:p>
    <w:p w14:paraId="75BC4909">
      <w:pPr>
        <w:pStyle w:val="2"/>
        <w:spacing w:line="600" w:lineRule="exact"/>
        <w:ind w:firstLine="640"/>
        <w:rPr>
          <w:rFonts w:hint="eastAsia"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t>镇政府驻地设1处养老院，各行政村设置老年人日间照料中心1处，保证全镇老年人基本养老需求。</w:t>
      </w:r>
    </w:p>
    <w:p w14:paraId="1C9D046E">
      <w:pPr>
        <w:rPr>
          <w:rFonts w:hint="eastAsia" w:ascii="Times New Roman" w:hAnsi="Times New Roman" w:eastAsia="仿宋GB2312"/>
          <w:color w:val="000000"/>
          <w:kern w:val="0"/>
          <w:sz w:val="32"/>
          <w:szCs w:val="32"/>
          <w:lang w:bidi="ar"/>
        </w:rPr>
      </w:pPr>
      <w:r>
        <w:rPr>
          <w:rFonts w:hint="eastAsia" w:ascii="Times New Roman" w:hAnsi="Times New Roman" w:eastAsia="仿宋GB2312"/>
          <w:color w:val="000000"/>
          <w:kern w:val="0"/>
          <w:sz w:val="32"/>
          <w:szCs w:val="32"/>
          <w:lang w:bidi="ar"/>
        </w:rPr>
        <w:br w:type="page"/>
      </w:r>
    </w:p>
    <w:bookmarkEnd w:id="297"/>
    <w:bookmarkEnd w:id="298"/>
    <w:bookmarkEnd w:id="299"/>
    <w:bookmarkEnd w:id="300"/>
    <w:bookmarkEnd w:id="320"/>
    <w:bookmarkEnd w:id="321"/>
    <w:bookmarkEnd w:id="322"/>
    <w:bookmarkEnd w:id="323"/>
    <w:bookmarkEnd w:id="324"/>
    <w:bookmarkEnd w:id="325"/>
    <w:p w14:paraId="60ECF1C0">
      <w:pPr>
        <w:pStyle w:val="3"/>
        <w:numPr>
          <w:ilvl w:val="0"/>
          <w:numId w:val="2"/>
        </w:numPr>
        <w:spacing w:before="0" w:after="0" w:line="600" w:lineRule="exact"/>
        <w:ind w:firstLine="720"/>
        <w:jc w:val="center"/>
        <w:rPr>
          <w:rFonts w:ascii="Times New Roman" w:hAnsi="Times New Roman" w:eastAsia="方正小标宋简体" w:cs="方正小标宋简体"/>
          <w:b w:val="0"/>
          <w:bCs w:val="0"/>
          <w:sz w:val="36"/>
          <w:szCs w:val="36"/>
          <w:highlight w:val="none"/>
        </w:rPr>
      </w:pPr>
      <w:bookmarkStart w:id="337" w:name="_Toc10359"/>
      <w:bookmarkStart w:id="338" w:name="_Toc18049"/>
      <w:bookmarkStart w:id="339" w:name="_Toc32426"/>
      <w:bookmarkStart w:id="340" w:name="_Toc30212"/>
      <w:bookmarkStart w:id="341" w:name="_Toc4610"/>
      <w:bookmarkStart w:id="342" w:name="_Toc16748"/>
      <w:bookmarkStart w:id="343" w:name="_Toc13205"/>
      <w:r>
        <w:rPr>
          <w:rFonts w:hint="eastAsia" w:ascii="Times New Roman" w:hAnsi="Times New Roman" w:eastAsia="方正小标宋简体" w:cs="方正小标宋简体"/>
          <w:b w:val="0"/>
          <w:bCs w:val="0"/>
          <w:sz w:val="36"/>
          <w:szCs w:val="36"/>
          <w:highlight w:val="none"/>
        </w:rPr>
        <w:t>规划传导和实施</w:t>
      </w:r>
      <w:bookmarkEnd w:id="337"/>
      <w:bookmarkEnd w:id="338"/>
      <w:bookmarkEnd w:id="339"/>
      <w:bookmarkEnd w:id="340"/>
      <w:bookmarkEnd w:id="341"/>
      <w:bookmarkEnd w:id="342"/>
      <w:bookmarkEnd w:id="343"/>
    </w:p>
    <w:p w14:paraId="1B27F749">
      <w:pPr>
        <w:pStyle w:val="4"/>
        <w:numPr>
          <w:ilvl w:val="1"/>
          <w:numId w:val="5"/>
        </w:numPr>
        <w:spacing w:line="600" w:lineRule="exact"/>
        <w:ind w:firstLine="640" w:firstLineChars="200"/>
        <w:rPr>
          <w:rFonts w:ascii="Times New Roman" w:hAnsi="Times New Roman" w:cs="Times New Roman"/>
          <w:b w:val="0"/>
          <w:sz w:val="32"/>
          <w:highlight w:val="none"/>
        </w:rPr>
      </w:pPr>
      <w:bookmarkStart w:id="344" w:name="_Toc18669"/>
      <w:bookmarkStart w:id="345" w:name="_Toc17826"/>
      <w:bookmarkStart w:id="346" w:name="_Toc19685"/>
      <w:bookmarkStart w:id="347" w:name="_Toc24789"/>
      <w:bookmarkStart w:id="348" w:name="_Toc3249"/>
      <w:bookmarkStart w:id="349" w:name="_Toc5119"/>
      <w:bookmarkStart w:id="350" w:name="_Toc8830"/>
      <w:r>
        <w:rPr>
          <w:rFonts w:hint="eastAsia" w:ascii="Times New Roman" w:hAnsi="Times New Roman" w:cs="Times New Roman"/>
          <w:b w:val="0"/>
          <w:sz w:val="32"/>
          <w:highlight w:val="none"/>
        </w:rPr>
        <w:t>规划传导</w:t>
      </w:r>
      <w:bookmarkEnd w:id="344"/>
      <w:bookmarkEnd w:id="345"/>
      <w:r>
        <w:rPr>
          <w:rFonts w:hint="eastAsia" w:ascii="Times New Roman" w:hAnsi="Times New Roman" w:cs="Times New Roman"/>
          <w:b w:val="0"/>
          <w:sz w:val="32"/>
          <w:highlight w:val="none"/>
        </w:rPr>
        <w:t>与管控</w:t>
      </w:r>
      <w:bookmarkEnd w:id="346"/>
      <w:bookmarkEnd w:id="347"/>
      <w:bookmarkEnd w:id="348"/>
      <w:bookmarkEnd w:id="349"/>
      <w:bookmarkEnd w:id="350"/>
    </w:p>
    <w:p w14:paraId="29C4B5AB">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51" w:name="_Toc27522"/>
      <w:r>
        <w:rPr>
          <w:rFonts w:hint="eastAsia" w:ascii="Times New Roman" w:hAnsi="Times New Roman" w:eastAsia="楷体" w:cs="Times New Roman"/>
          <w:sz w:val="32"/>
          <w:szCs w:val="24"/>
          <w:highlight w:val="none"/>
        </w:rPr>
        <w:t xml:space="preserve"> 构建规划传导管控体系</w:t>
      </w:r>
      <w:bookmarkEnd w:id="351"/>
    </w:p>
    <w:p w14:paraId="795C51DD">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全面建立县、乡镇“二级”和总体规划、专项规划、详细规划“三类”国土空间规划体系，落实空间规划体系的传导和管控要求，纵向发挥对村级规划的管控引导作用；横向发挥对各类专项规划的指导和约束作用。</w:t>
      </w:r>
    </w:p>
    <w:p w14:paraId="5CC730FD">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52" w:name="_Toc30896"/>
      <w:r>
        <w:rPr>
          <w:rFonts w:hint="eastAsia" w:ascii="Times New Roman" w:hAnsi="Times New Roman" w:eastAsia="楷体" w:cs="Times New Roman"/>
          <w:sz w:val="32"/>
          <w:szCs w:val="24"/>
          <w:highlight w:val="none"/>
        </w:rPr>
        <w:t xml:space="preserve"> 对村庄规划的传导指引</w:t>
      </w:r>
      <w:bookmarkEnd w:id="352"/>
    </w:p>
    <w:p w14:paraId="68BB9EC7">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落实本次规划，完成对大兴村、国栋村的村庄规划。</w:t>
      </w:r>
    </w:p>
    <w:p w14:paraId="64FDFE60">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53" w:name="_Toc23285"/>
      <w:r>
        <w:rPr>
          <w:rFonts w:hint="eastAsia" w:ascii="Times New Roman" w:hAnsi="Times New Roman" w:eastAsia="楷体" w:cs="Times New Roman"/>
          <w:sz w:val="32"/>
          <w:szCs w:val="24"/>
          <w:highlight w:val="none"/>
        </w:rPr>
        <w:t xml:space="preserve"> 对相关专项规划的指导</w:t>
      </w:r>
      <w:bookmarkEnd w:id="353"/>
    </w:p>
    <w:p w14:paraId="7552083A">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以国土空间总体规划明确的目标作为各专项规划的总体目标，按照各专项规划的需求细化分解系统分目标。</w:t>
      </w:r>
    </w:p>
    <w:p w14:paraId="5BCA9607">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54" w:name="_Toc8808"/>
      <w:r>
        <w:rPr>
          <w:rFonts w:hint="eastAsia" w:ascii="Times New Roman" w:hAnsi="Times New Roman" w:eastAsia="楷体" w:cs="Times New Roman"/>
          <w:sz w:val="32"/>
          <w:szCs w:val="24"/>
          <w:highlight w:val="none"/>
        </w:rPr>
        <w:t xml:space="preserve"> 健全国土空间用途管制制度</w:t>
      </w:r>
      <w:bookmarkEnd w:id="354"/>
    </w:p>
    <w:p w14:paraId="38BC9941">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以《规划》为依据，建立健全统一的全域、全要素国土空间用途管制制度。</w:t>
      </w:r>
    </w:p>
    <w:p w14:paraId="67136939">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55" w:name="_Toc7737"/>
      <w:r>
        <w:rPr>
          <w:rFonts w:hint="eastAsia" w:ascii="Times New Roman" w:hAnsi="Times New Roman" w:eastAsia="楷体" w:cs="Times New Roman"/>
          <w:sz w:val="32"/>
          <w:szCs w:val="24"/>
          <w:highlight w:val="none"/>
        </w:rPr>
        <w:t xml:space="preserve"> 加强土地利用年度计划管理</w:t>
      </w:r>
      <w:bookmarkEnd w:id="355"/>
    </w:p>
    <w:p w14:paraId="599D0325">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依据《规划》统筹相关专项规划的空间需求和国家下达的年度土地利用计划等控制指标，结合经济社会发展水平和节约集约用地状况等，科学编制土地利用年度计划。加强土地利用年度计划执行情况评估考核，新增建设用地计划指标实行指令性管理，不得突破。</w:t>
      </w:r>
    </w:p>
    <w:p w14:paraId="23AD5E41">
      <w:pPr>
        <w:pStyle w:val="4"/>
        <w:numPr>
          <w:ilvl w:val="1"/>
          <w:numId w:val="5"/>
        </w:numPr>
        <w:spacing w:line="600" w:lineRule="exact"/>
        <w:ind w:firstLine="640" w:firstLineChars="200"/>
        <w:rPr>
          <w:rFonts w:ascii="Times New Roman" w:hAnsi="Times New Roman" w:cs="Times New Roman"/>
          <w:b w:val="0"/>
          <w:sz w:val="32"/>
          <w:highlight w:val="none"/>
        </w:rPr>
      </w:pPr>
      <w:bookmarkStart w:id="356" w:name="_Toc4309"/>
      <w:bookmarkStart w:id="357" w:name="_Toc7548"/>
      <w:bookmarkStart w:id="358" w:name="_Toc24881"/>
      <w:bookmarkStart w:id="359" w:name="_Toc16371"/>
      <w:bookmarkStart w:id="360" w:name="_Toc2272"/>
      <w:r>
        <w:rPr>
          <w:rFonts w:hint="eastAsia" w:ascii="Times New Roman" w:hAnsi="Times New Roman" w:cs="Times New Roman"/>
          <w:b w:val="0"/>
          <w:sz w:val="32"/>
          <w:highlight w:val="none"/>
        </w:rPr>
        <w:t>规划实施</w:t>
      </w:r>
      <w:bookmarkEnd w:id="356"/>
      <w:bookmarkEnd w:id="357"/>
      <w:bookmarkEnd w:id="358"/>
      <w:bookmarkEnd w:id="359"/>
      <w:bookmarkEnd w:id="360"/>
    </w:p>
    <w:p w14:paraId="2E48AF40">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本规划自批准之日起执行，由上集镇人民政府负责组织实施。</w:t>
      </w:r>
    </w:p>
    <w:p w14:paraId="3814EC7B">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61" w:name="_Toc19456"/>
      <w:r>
        <w:rPr>
          <w:rFonts w:hint="eastAsia" w:ascii="Times New Roman" w:hAnsi="Times New Roman" w:eastAsia="楷体" w:cs="Times New Roman"/>
          <w:sz w:val="32"/>
          <w:szCs w:val="24"/>
          <w:highlight w:val="none"/>
        </w:rPr>
        <w:t xml:space="preserve"> 近期行动计划</w:t>
      </w:r>
      <w:bookmarkEnd w:id="361"/>
    </w:p>
    <w:p w14:paraId="564ADD1F">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围绕“两个一百年”发展战略目标和高质量发展要求，规划到2025年，经济社会发展达到一个新的历史高度。绿色产业和经济实力迈上新台阶，基础设施和城乡建设取得新突破，绿色本底和生态环境持续改善，民生福祉和人民获得感持续增进。生态文明建设取得新进步，国土空间开发格局不断优化，基础设施更加完善。</w:t>
      </w:r>
    </w:p>
    <w:p w14:paraId="247C61B9">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62" w:name="_Toc28221"/>
      <w:r>
        <w:rPr>
          <w:rFonts w:hint="eastAsia" w:ascii="Times New Roman" w:hAnsi="Times New Roman" w:eastAsia="楷体" w:cs="Times New Roman"/>
          <w:sz w:val="32"/>
          <w:szCs w:val="24"/>
          <w:highlight w:val="none"/>
        </w:rPr>
        <w:t xml:space="preserve"> 近期重点项目</w:t>
      </w:r>
      <w:bookmarkEnd w:id="362"/>
    </w:p>
    <w:p w14:paraId="1D63E3B6">
      <w:pPr>
        <w:widowControl/>
        <w:ind w:firstLine="640"/>
        <w:jc w:val="left"/>
        <w:rPr>
          <w:rFonts w:ascii="Times New Roman" w:hAnsi="Times New Roman" w:eastAsia="仿宋GB2312"/>
          <w:color w:val="000000"/>
          <w:kern w:val="0"/>
          <w:sz w:val="32"/>
          <w:szCs w:val="32"/>
          <w:highlight w:val="none"/>
          <w:lang w:bidi="ar"/>
        </w:rPr>
      </w:pPr>
      <w:r>
        <w:rPr>
          <w:rFonts w:hint="eastAsia" w:ascii="Times New Roman" w:hAnsi="Times New Roman" w:eastAsia="仿宋GB2312"/>
          <w:color w:val="000000"/>
          <w:kern w:val="0"/>
          <w:sz w:val="32"/>
          <w:szCs w:val="32"/>
          <w:highlight w:val="none"/>
          <w:lang w:bidi="ar"/>
        </w:rPr>
        <w:t>上集镇近期重点建设项目共28项。其中，产业类项目5项，涉及农产品加工和旅游业开发；电力项目1项，为</w:t>
      </w:r>
      <w:r>
        <w:rPr>
          <w:rFonts w:ascii="Times New Roman" w:hAnsi="Times New Roman" w:eastAsia="仿宋GB2312"/>
          <w:color w:val="000000"/>
          <w:kern w:val="0"/>
          <w:sz w:val="32"/>
          <w:szCs w:val="32"/>
          <w:highlight w:val="none"/>
          <w:lang w:bidi="ar"/>
        </w:rPr>
        <w:t>绥棱－绥上甲线66千伏线路工程</w:t>
      </w:r>
      <w:r>
        <w:rPr>
          <w:rFonts w:hint="eastAsia" w:ascii="Times New Roman" w:hAnsi="Times New Roman" w:eastAsia="仿宋GB2312"/>
          <w:color w:val="000000"/>
          <w:kern w:val="0"/>
          <w:sz w:val="32"/>
          <w:szCs w:val="32"/>
          <w:highlight w:val="none"/>
          <w:lang w:bidi="ar"/>
        </w:rPr>
        <w:t>改造工程；环保项目1项，为努敏河流域环境治理工程；交通项目10项；水利项目6项；能源项目3项</w:t>
      </w:r>
      <w:bookmarkStart w:id="363" w:name="_Toc29964"/>
      <w:bookmarkStart w:id="364" w:name="_Toc13313"/>
      <w:bookmarkStart w:id="365" w:name="_Toc25726"/>
      <w:bookmarkStart w:id="366" w:name="_Toc9754"/>
      <w:r>
        <w:rPr>
          <w:rFonts w:hint="eastAsia" w:ascii="Times New Roman" w:hAnsi="Times New Roman" w:eastAsia="仿宋GB2312"/>
          <w:color w:val="000000"/>
          <w:kern w:val="0"/>
          <w:sz w:val="32"/>
          <w:szCs w:val="32"/>
          <w:highlight w:val="none"/>
          <w:lang w:bidi="ar"/>
        </w:rPr>
        <w:t>；民生项目2项。</w:t>
      </w:r>
    </w:p>
    <w:p w14:paraId="2FE27906">
      <w:pPr>
        <w:pStyle w:val="4"/>
        <w:numPr>
          <w:ilvl w:val="1"/>
          <w:numId w:val="5"/>
        </w:numPr>
        <w:spacing w:line="600" w:lineRule="exact"/>
        <w:ind w:firstLine="640" w:firstLineChars="200"/>
        <w:rPr>
          <w:rFonts w:ascii="Times New Roman" w:hAnsi="Times New Roman" w:cs="Times New Roman"/>
          <w:b w:val="0"/>
          <w:sz w:val="32"/>
          <w:highlight w:val="none"/>
        </w:rPr>
      </w:pPr>
      <w:bookmarkStart w:id="367" w:name="_Toc19565"/>
      <w:bookmarkStart w:id="368" w:name="_Toc20221"/>
      <w:bookmarkStart w:id="369" w:name="_Toc21423"/>
      <w:r>
        <w:rPr>
          <w:rFonts w:hint="eastAsia" w:ascii="Times New Roman" w:hAnsi="Times New Roman" w:cs="Times New Roman"/>
          <w:b w:val="0"/>
          <w:sz w:val="32"/>
          <w:highlight w:val="none"/>
        </w:rPr>
        <w:t>规划</w:t>
      </w:r>
      <w:bookmarkEnd w:id="363"/>
      <w:bookmarkEnd w:id="364"/>
      <w:r>
        <w:rPr>
          <w:rFonts w:hint="eastAsia" w:ascii="Times New Roman" w:hAnsi="Times New Roman" w:cs="Times New Roman"/>
          <w:b w:val="0"/>
          <w:sz w:val="32"/>
          <w:highlight w:val="none"/>
        </w:rPr>
        <w:t>实施保障</w:t>
      </w:r>
      <w:bookmarkEnd w:id="365"/>
      <w:bookmarkEnd w:id="366"/>
      <w:bookmarkEnd w:id="367"/>
      <w:bookmarkEnd w:id="368"/>
      <w:bookmarkEnd w:id="369"/>
    </w:p>
    <w:p w14:paraId="6DF4C4B8">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70" w:name="_Toc27382"/>
      <w:r>
        <w:rPr>
          <w:rFonts w:hint="eastAsia" w:ascii="Times New Roman" w:hAnsi="Times New Roman" w:eastAsia="楷体" w:cs="Times New Roman"/>
          <w:sz w:val="32"/>
          <w:szCs w:val="24"/>
          <w:highlight w:val="none"/>
        </w:rPr>
        <w:t xml:space="preserve"> 规划动态评估调整机制</w:t>
      </w:r>
      <w:bookmarkEnd w:id="370"/>
    </w:p>
    <w:p w14:paraId="013A807B">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按照国土空间规划体检评估要求，建立规划动态评估调整机制，开展定期体检和五年一评估，将国土空间规划体检评估结果作为编制、审批、修改规划和审计、执法、督察的重要参考。规划实施过程中，因国家重大战略和项目实施、重大政策调整、经济社会发展条件发生重大变化、发生重大自然灾害等需要修改规划的，规划编制机关可以按程序修改规划，报原规划审批机关批准。</w:t>
      </w:r>
    </w:p>
    <w:p w14:paraId="008FBF68">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71" w:name="_Toc15992"/>
      <w:r>
        <w:rPr>
          <w:rFonts w:hint="eastAsia" w:ascii="Times New Roman" w:hAnsi="Times New Roman" w:eastAsia="楷体" w:cs="Times New Roman"/>
          <w:sz w:val="32"/>
          <w:szCs w:val="24"/>
          <w:highlight w:val="none"/>
        </w:rPr>
        <w:t xml:space="preserve"> 建立多规协调机制</w:t>
      </w:r>
      <w:bookmarkEnd w:id="371"/>
    </w:p>
    <w:p w14:paraId="56E3EE40">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在“多规合一”基础上建立国土空间规划，在管控边界、乡村建设用地规模方面与相关规划衔接。以本次国土空间规划为基础，着力解决空间性规划重叠冲突问题，构建“一个发展目标、一套指标体系、一张空间蓝图、一套技术标准和一个数据平台”。整合各部门规划职能，统一行使规划编制事权，探索项目审批多规联动。</w:t>
      </w:r>
    </w:p>
    <w:p w14:paraId="61662EA3">
      <w:pPr>
        <w:keepNext/>
        <w:keepLines/>
        <w:numPr>
          <w:ilvl w:val="2"/>
          <w:numId w:val="2"/>
        </w:numPr>
        <w:spacing w:line="600" w:lineRule="exact"/>
        <w:ind w:firstLineChars="0"/>
        <w:jc w:val="left"/>
        <w:outlineLvl w:val="2"/>
        <w:rPr>
          <w:rFonts w:ascii="Times New Roman" w:hAnsi="Times New Roman" w:eastAsia="楷体" w:cs="Times New Roman"/>
          <w:sz w:val="32"/>
          <w:szCs w:val="24"/>
          <w:highlight w:val="none"/>
        </w:rPr>
      </w:pPr>
      <w:bookmarkStart w:id="372" w:name="_Toc26463"/>
      <w:r>
        <w:rPr>
          <w:rFonts w:hint="eastAsia" w:ascii="Times New Roman" w:hAnsi="Times New Roman" w:eastAsia="楷体" w:cs="Times New Roman"/>
          <w:sz w:val="32"/>
          <w:szCs w:val="24"/>
          <w:highlight w:val="none"/>
        </w:rPr>
        <w:t xml:space="preserve"> 强化公众参与与社会监督</w:t>
      </w:r>
      <w:bookmarkEnd w:id="372"/>
    </w:p>
    <w:p w14:paraId="79AD7772">
      <w:pPr>
        <w:pStyle w:val="32"/>
        <w:ind w:firstLine="640"/>
        <w:rPr>
          <w:rFonts w:eastAsia="仿宋GB2312" w:cs="仿宋"/>
          <w:color w:val="000000"/>
          <w:kern w:val="0"/>
          <w:szCs w:val="32"/>
          <w:highlight w:val="none"/>
          <w:lang w:bidi="ar"/>
        </w:rPr>
      </w:pPr>
      <w:r>
        <w:rPr>
          <w:rFonts w:hint="eastAsia" w:eastAsia="仿宋GB2312" w:cs="仿宋"/>
          <w:color w:val="000000"/>
          <w:kern w:val="0"/>
          <w:szCs w:val="32"/>
          <w:highlight w:val="none"/>
          <w:lang w:bidi="ar"/>
        </w:rPr>
        <w:t>加大国土空间规划的公众参与机制，建立全过程的公众参与制度和专家咨询制度，充分调动村民参与规划管理决策的积极性。加大国土空间规划政策内容的公众宣传力度。发挥人大监督、法律监督、行政监督、舆论监督和公众监督的作用，鼓励公众和社会组织对规划执行进行监督，对违反规划的开发建设行为进行举报，以保证规划的顺利实施。</w:t>
      </w:r>
    </w:p>
    <w:p w14:paraId="49C2C986">
      <w:pPr>
        <w:tabs>
          <w:tab w:val="left" w:pos="415"/>
        </w:tabs>
        <w:ind w:left="0" w:leftChars="0" w:firstLine="0" w:firstLineChars="0"/>
        <w:jc w:val="left"/>
        <w:rPr>
          <w:rFonts w:hint="eastAsia"/>
        </w:rPr>
      </w:pPr>
    </w:p>
    <w:sectPr>
      <w:footerReference r:id="rId18" w:type="default"/>
      <w:type w:val="continuous"/>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179DFF-98A7-453C-8391-981A227818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99D9BD67-1137-4DB1-BEBB-ABCF32A0D221}"/>
  </w:font>
  <w:font w:name="等线 Light">
    <w:panose1 w:val="02010600030101010101"/>
    <w:charset w:val="86"/>
    <w:family w:val="auto"/>
    <w:pitch w:val="default"/>
    <w:sig w:usb0="A00002BF" w:usb1="38CF7CFA"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embedRegular r:id="rId3" w:fontKey="{2B41DFBC-DD98-49CA-9173-52E6A30EAC10}"/>
  </w:font>
  <w:font w:name="仿宋_GB2312">
    <w:panose1 w:val="02010609030101010101"/>
    <w:charset w:val="86"/>
    <w:family w:val="modern"/>
    <w:pitch w:val="default"/>
    <w:sig w:usb0="00000001" w:usb1="080E0000" w:usb2="00000000" w:usb3="00000000" w:csb0="00040000" w:csb1="00000000"/>
    <w:embedRegular r:id="rId4" w:fontKey="{9AA9AE9D-9958-4757-8600-29D33ABA89B5}"/>
  </w:font>
  <w:font w:name="方正小标宋_GBK">
    <w:altName w:val="微软雅黑"/>
    <w:panose1 w:val="00000000000000000000"/>
    <w:charset w:val="86"/>
    <w:family w:val="auto"/>
    <w:pitch w:val="default"/>
    <w:sig w:usb0="00000000" w:usb1="00000000" w:usb2="00082016" w:usb3="00000000" w:csb0="00040001" w:csb1="00000000"/>
    <w:embedRegular r:id="rId5" w:fontKey="{BFA7D435-A82D-4A85-A1A2-3F99E71D7059}"/>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6" w:fontKey="{4352C226-99DC-4282-82D8-8A8591B327FA}"/>
  </w:font>
  <w:font w:name="楷体">
    <w:panose1 w:val="02010609060101010101"/>
    <w:charset w:val="86"/>
    <w:family w:val="modern"/>
    <w:pitch w:val="default"/>
    <w:sig w:usb0="800002BF" w:usb1="38CF7CFA" w:usb2="00000016" w:usb3="00000000" w:csb0="00040001" w:csb1="00000000"/>
    <w:embedRegular r:id="rId7" w:fontKey="{9774A7DA-EA72-4C13-BECD-85052EF588EE}"/>
  </w:font>
  <w:font w:name="仿宋GB2312">
    <w:altName w:val="宋体"/>
    <w:panose1 w:val="00000000000000000000"/>
    <w:charset w:val="86"/>
    <w:family w:val="roman"/>
    <w:pitch w:val="default"/>
    <w:sig w:usb0="00000000" w:usb1="00000000" w:usb2="00000000" w:usb3="00000000" w:csb0="00000000" w:csb1="00000000"/>
    <w:embedRegular r:id="rId8" w:fontKey="{49FB4264-96CD-4E75-AD46-F498A8224DC0}"/>
  </w:font>
  <w:font w:name="方正仿宋_GB2312">
    <w:altName w:val="微软雅黑"/>
    <w:panose1 w:val="00000000000000000000"/>
    <w:charset w:val="86"/>
    <w:family w:val="auto"/>
    <w:pitch w:val="default"/>
    <w:sig w:usb0="00000000" w:usb1="00000000" w:usb2="00000012" w:usb3="00000000" w:csb0="00040001" w:csb1="00000000"/>
    <w:embedRegular r:id="rId9" w:fontKey="{DC6E9178-2E7A-4EFB-B120-F11341CAB5B7}"/>
  </w:font>
  <w:font w:name="WPSEMBED5">
    <w:panose1 w:val="02010609030101010101"/>
    <w:charset w:val="86"/>
    <w:family w:val="auto"/>
    <w:pitch w:val="default"/>
    <w:sig w:usb0="00000001" w:usb1="080E0000" w:usb2="00000000" w:usb3="00000000" w:csb0="00040000" w:csb1="00000000"/>
  </w:font>
  <w:font w:name="WPSEMBED6">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5FCB6">
    <w:pPr>
      <w:pStyle w:val="11"/>
      <w:ind w:firstLine="360"/>
      <w:jc w:val="center"/>
      <w:rPr>
        <w:rFonts w:ascii="Times New Roman" w:hAnsi="Times New Roman"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B4247">
                          <w:pPr>
                            <w:pStyle w:val="11"/>
                            <w:ind w:firstLine="36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0F0B4247">
                    <w:pPr>
                      <w:pStyle w:val="11"/>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sdt>
      <w:sdtPr>
        <w:id w:val="-1489394895"/>
      </w:sdtPr>
      <w:sdtEndPr>
        <w:rPr>
          <w:rFonts w:ascii="Times New Roman" w:hAnsi="Times New Roman" w:cs="Times New Roman"/>
        </w:rPr>
      </w:sdtEndPr>
      <w:sdtContent/>
    </w:sdt>
  </w:p>
  <w:p w14:paraId="15118446">
    <w:pPr>
      <w:pStyle w:val="1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EB857">
    <w:pPr>
      <w:pStyle w:val="1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1F6A">
    <w:pPr>
      <w:pStyle w:val="11"/>
      <w:ind w:firstLine="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29557">
                          <w:pPr>
                            <w:pStyle w:val="11"/>
                            <w:ind w:firstLine="36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48229557">
                    <w:pPr>
                      <w:pStyle w:val="11"/>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8174">
    <w:pPr>
      <w:pStyle w:val="11"/>
      <w:ind w:firstLine="360"/>
      <w:jc w:val="center"/>
      <w:rPr>
        <w:rFonts w:ascii="Times New Roman" w:hAnsi="Times New Roman" w:cs="Times New Roman"/>
      </w:rPr>
    </w:pPr>
    <w:sdt>
      <w:sdtPr>
        <w:id w:val="147456242"/>
        <w:showingPlcHdr/>
      </w:sdtPr>
      <w:sdtEndPr>
        <w:rPr>
          <w:rFonts w:ascii="Times New Roman" w:hAnsi="Times New Roman" w:cs="Times New Roman"/>
        </w:rPr>
      </w:sdtEndPr>
      <w:sdtContent>
        <w:r>
          <w:rPr>
            <w:rFonts w:hint="eastAsia"/>
          </w:rPr>
          <w:t xml:space="preserve">     </w:t>
        </w:r>
      </w:sdtContent>
    </w:sdt>
  </w:p>
  <w:p w14:paraId="3D10C013">
    <w:pPr>
      <w:pStyle w:val="11"/>
      <w:ind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1C043">
    <w:pPr>
      <w:pStyle w:val="11"/>
      <w:ind w:firstLine="0" w:firstLineChars="0"/>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CD608">
                          <w:pPr>
                            <w:pStyle w:val="11"/>
                            <w:ind w:firstLine="36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702CD608">
                    <w:pPr>
                      <w:pStyle w:val="11"/>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B49DF">
    <w:pPr>
      <w:pStyle w:val="11"/>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BA822">
    <w:pPr>
      <w:pStyle w:val="11"/>
      <w:ind w:firstLine="360"/>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832CA">
    <w:pPr>
      <w:pStyle w:val="11"/>
      <w:tabs>
        <w:tab w:val="center" w:pos="6979"/>
        <w:tab w:val="clear" w:pos="4153"/>
      </w:tabs>
      <w:ind w:firstLine="0" w:firstLineChars="0"/>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D1D28">
                          <w:pPr>
                            <w:pStyle w:val="11"/>
                            <w:ind w:firstLine="360"/>
                            <w:rPr>
                              <w:rFonts w:hint="eastAsia"/>
                            </w:rPr>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6C4D1D28">
                    <w:pPr>
                      <w:pStyle w:val="11"/>
                      <w:ind w:firstLine="360"/>
                      <w:rPr>
                        <w:rFonts w:hint="eastAsia"/>
                      </w:rP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75F9E">
    <w:pPr>
      <w:pStyle w:val="12"/>
      <w:ind w:firstLine="0" w:firstLineChars="0"/>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B3E03">
    <w:pPr>
      <w:pStyle w:val="1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A17C3">
    <w:pPr>
      <w:pStyle w:val="12"/>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72015">
    <w:pPr>
      <w:pStyle w:val="12"/>
      <w:pBdr>
        <w:bottom w:val="single" w:color="auto" w:sz="6" w:space="1"/>
      </w:pBdr>
      <w:spacing w:line="600" w:lineRule="exact"/>
      <w:ind w:firstLine="360"/>
      <w:rPr>
        <w:rFonts w:hint="eastAsia" w:eastAsia="仿宋_GB2312" w:asciiTheme="minorHAnsi" w:hAnsiTheme="minorHAnsi" w:cstheme="minorBidi"/>
      </w:rPr>
    </w:pPr>
    <w:r>
      <w:rPr>
        <w:rFonts w:hint="eastAsia" w:eastAsia="仿宋_GB2312" w:asciiTheme="minorHAnsi" w:hAnsiTheme="minorHAnsi" w:cstheme="minorBidi"/>
      </w:rPr>
      <w:t>绥棱县上集镇国土空间总体规划（2021-2035年）</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4E223">
    <w:pPr>
      <w:pStyle w:val="12"/>
      <w:ind w:firstLine="360"/>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B60C">
    <w:pPr>
      <w:pStyle w:val="12"/>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14CCCC"/>
    <w:multiLevelType w:val="multilevel"/>
    <w:tmpl w:val="EE14CCCC"/>
    <w:lvl w:ilvl="0" w:tentative="0">
      <w:start w:val="1"/>
      <w:numFmt w:val="chineseCounting"/>
      <w:suff w:val="space"/>
      <w:lvlText w:val="第%1章 "/>
      <w:lvlJc w:val="center"/>
      <w:pPr>
        <w:tabs>
          <w:tab w:val="left" w:pos="0"/>
        </w:tabs>
        <w:ind w:left="0" w:firstLine="402"/>
      </w:pPr>
      <w:rPr>
        <w:rFonts w:hint="eastAsia" w:ascii="方正小标宋简体" w:hAnsi="方正小标宋简体" w:eastAsia="方正小标宋简体" w:cs="方正小标宋简体"/>
        <w:sz w:val="36"/>
        <w:szCs w:val="36"/>
      </w:rPr>
    </w:lvl>
    <w:lvl w:ilvl="1" w:tentative="0">
      <w:start w:val="1"/>
      <w:numFmt w:val="chineseCounting"/>
      <w:suff w:val="space"/>
      <w:lvlText w:val="第%2节"/>
      <w:lvlJc w:val="center"/>
      <w:pPr>
        <w:tabs>
          <w:tab w:val="left" w:pos="420"/>
        </w:tabs>
        <w:ind w:left="0" w:firstLine="402"/>
      </w:pPr>
      <w:rPr>
        <w:rFonts w:hint="eastAsia" w:eastAsia="黑体"/>
        <w:sz w:val="32"/>
      </w:rPr>
    </w:lvl>
    <w:lvl w:ilvl="2" w:tentative="0">
      <w:start w:val="1"/>
      <w:numFmt w:val="decimal"/>
      <w:lvlRestart w:val="0"/>
      <w:suff w:val="space"/>
      <w:lvlText w:val="第%3条"/>
      <w:lvlJc w:val="left"/>
      <w:pPr>
        <w:ind w:left="0" w:firstLine="0"/>
      </w:pPr>
      <w:rPr>
        <w:rFonts w:hint="eastAsia" w:eastAsia="楷体"/>
        <w:sz w:val="32"/>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9EB42EB"/>
    <w:multiLevelType w:val="multilevel"/>
    <w:tmpl w:val="F9EB42EB"/>
    <w:lvl w:ilvl="0" w:tentative="0">
      <w:start w:val="1"/>
      <w:numFmt w:val="chineseCounting"/>
      <w:suff w:val="space"/>
      <w:lvlText w:val="第%1章 "/>
      <w:lvlJc w:val="center"/>
      <w:pPr>
        <w:tabs>
          <w:tab w:val="left" w:pos="0"/>
        </w:tabs>
        <w:ind w:left="0" w:firstLine="402"/>
      </w:pPr>
      <w:rPr>
        <w:rFonts w:hint="eastAsia" w:ascii="方正小标宋简体" w:hAnsi="方正小标宋简体" w:eastAsia="方正小标宋简体" w:cs="方正小标宋简体"/>
        <w:sz w:val="36"/>
        <w:szCs w:val="36"/>
      </w:rPr>
    </w:lvl>
    <w:lvl w:ilvl="1" w:tentative="0">
      <w:start w:val="1"/>
      <w:numFmt w:val="chineseCounting"/>
      <w:suff w:val="space"/>
      <w:lvlText w:val="第%2节"/>
      <w:lvlJc w:val="center"/>
      <w:pPr>
        <w:tabs>
          <w:tab w:val="left" w:pos="420"/>
        </w:tabs>
        <w:ind w:left="0" w:firstLine="402"/>
      </w:pPr>
      <w:rPr>
        <w:rFonts w:hint="eastAsia" w:eastAsia="黑体"/>
        <w:sz w:val="32"/>
      </w:rPr>
    </w:lvl>
    <w:lvl w:ilvl="2" w:tentative="0">
      <w:start w:val="1"/>
      <w:numFmt w:val="decimal"/>
      <w:lvlRestart w:val="0"/>
      <w:suff w:val="space"/>
      <w:lvlText w:val="第%3条"/>
      <w:lvlJc w:val="left"/>
      <w:pPr>
        <w:ind w:left="0" w:firstLine="0"/>
      </w:pPr>
      <w:rPr>
        <w:rFonts w:hint="eastAsia" w:eastAsia="楷体"/>
        <w:sz w:val="32"/>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3482BEB2"/>
    <w:multiLevelType w:val="multilevel"/>
    <w:tmpl w:val="3482BEB2"/>
    <w:lvl w:ilvl="0" w:tentative="0">
      <w:start w:val="1"/>
      <w:numFmt w:val="chineseCounting"/>
      <w:pStyle w:val="42"/>
      <w:suff w:val="space"/>
      <w:lvlText w:val="第%1章"/>
      <w:lvlJc w:val="center"/>
      <w:pPr>
        <w:tabs>
          <w:tab w:val="left" w:pos="0"/>
        </w:tabs>
        <w:ind w:left="420"/>
      </w:pPr>
      <w:rPr>
        <w:rFonts w:hint="eastAsia"/>
      </w:rPr>
    </w:lvl>
    <w:lvl w:ilvl="1" w:tentative="0">
      <w:start w:val="1"/>
      <w:numFmt w:val="chineseCounting"/>
      <w:suff w:val="nothing"/>
      <w:lvlText w:val="%2、"/>
      <w:lvlJc w:val="center"/>
      <w:pPr>
        <w:tabs>
          <w:tab w:val="left" w:pos="0"/>
        </w:tabs>
        <w:ind w:left="420"/>
      </w:pPr>
      <w:rPr>
        <w:rFonts w:hint="eastAsia"/>
      </w:rPr>
    </w:lvl>
    <w:lvl w:ilvl="2" w:tentative="0">
      <w:start w:val="1"/>
      <w:numFmt w:val="chineseCounting"/>
      <w:suff w:val="nothing"/>
      <w:lvlText w:val="（%3）"/>
      <w:lvlJc w:val="center"/>
      <w:pPr>
        <w:tabs>
          <w:tab w:val="left" w:pos="0"/>
        </w:tabs>
        <w:ind w:left="420"/>
      </w:pPr>
      <w:rPr>
        <w:rFonts w:hint="eastAsia"/>
      </w:rPr>
    </w:lvl>
    <w:lvl w:ilvl="3" w:tentative="0">
      <w:start w:val="1"/>
      <w:numFmt w:val="decimal"/>
      <w:suff w:val="nothing"/>
      <w:lvlText w:val="%4．"/>
      <w:lvlJc w:val="center"/>
      <w:pPr>
        <w:tabs>
          <w:tab w:val="left" w:pos="0"/>
        </w:tabs>
        <w:ind w:left="420"/>
      </w:pPr>
      <w:rPr>
        <w:rFonts w:hint="eastAsia"/>
      </w:rPr>
    </w:lvl>
    <w:lvl w:ilvl="4" w:tentative="0">
      <w:start w:val="1"/>
      <w:numFmt w:val="decimal"/>
      <w:suff w:val="nothing"/>
      <w:lvlText w:val="（%5）"/>
      <w:lvlJc w:val="center"/>
      <w:pPr>
        <w:tabs>
          <w:tab w:val="left" w:pos="0"/>
        </w:tabs>
        <w:ind w:left="420"/>
      </w:pPr>
      <w:rPr>
        <w:rFonts w:hint="eastAsia"/>
      </w:rPr>
    </w:lvl>
    <w:lvl w:ilvl="5" w:tentative="0">
      <w:start w:val="1"/>
      <w:numFmt w:val="decimalEnclosedCircleChinese"/>
      <w:suff w:val="nothing"/>
      <w:lvlText w:val="%6"/>
      <w:lvlJc w:val="center"/>
      <w:pPr>
        <w:tabs>
          <w:tab w:val="left" w:pos="0"/>
        </w:tabs>
        <w:ind w:left="420"/>
      </w:pPr>
      <w:rPr>
        <w:rFonts w:hint="eastAsia"/>
      </w:rPr>
    </w:lvl>
    <w:lvl w:ilvl="6" w:tentative="0">
      <w:start w:val="1"/>
      <w:numFmt w:val="decimal"/>
      <w:suff w:val="nothing"/>
      <w:lvlText w:val="%7）"/>
      <w:lvlJc w:val="center"/>
      <w:pPr>
        <w:tabs>
          <w:tab w:val="left" w:pos="0"/>
        </w:tabs>
        <w:ind w:left="420"/>
      </w:pPr>
      <w:rPr>
        <w:rFonts w:hint="eastAsia"/>
      </w:rPr>
    </w:lvl>
    <w:lvl w:ilvl="7" w:tentative="0">
      <w:start w:val="1"/>
      <w:numFmt w:val="lowerLetter"/>
      <w:suff w:val="nothing"/>
      <w:lvlText w:val="%8．"/>
      <w:lvlJc w:val="center"/>
      <w:pPr>
        <w:tabs>
          <w:tab w:val="left" w:pos="0"/>
        </w:tabs>
        <w:ind w:left="420"/>
      </w:pPr>
      <w:rPr>
        <w:rFonts w:hint="eastAsia"/>
      </w:rPr>
    </w:lvl>
    <w:lvl w:ilvl="8" w:tentative="0">
      <w:start w:val="1"/>
      <w:numFmt w:val="lowerLetter"/>
      <w:suff w:val="nothing"/>
      <w:lvlText w:val="%9）"/>
      <w:lvlJc w:val="center"/>
      <w:pPr>
        <w:tabs>
          <w:tab w:val="left" w:pos="0"/>
        </w:tabs>
        <w:ind w:left="420"/>
      </w:pPr>
      <w:rPr>
        <w:rFonts w:hint="eastAsia"/>
      </w:rPr>
    </w:lvl>
  </w:abstractNum>
  <w:abstractNum w:abstractNumId="3">
    <w:nsid w:val="750A30A5"/>
    <w:multiLevelType w:val="singleLevel"/>
    <w:tmpl w:val="750A30A5"/>
    <w:lvl w:ilvl="0" w:tentative="0">
      <w:start w:val="1"/>
      <w:numFmt w:val="decimal"/>
      <w:lvlText w:val="%1."/>
      <w:lvlJc w:val="left"/>
      <w:pPr>
        <w:tabs>
          <w:tab w:val="left" w:pos="312"/>
        </w:tabs>
      </w:pPr>
    </w:lvl>
  </w:abstractNum>
  <w:abstractNum w:abstractNumId="4">
    <w:nsid w:val="7869FB1E"/>
    <w:multiLevelType w:val="multilevel"/>
    <w:tmpl w:val="7869FB1E"/>
    <w:lvl w:ilvl="0" w:tentative="0">
      <w:start w:val="1"/>
      <w:numFmt w:val="chineseCounting"/>
      <w:suff w:val="space"/>
      <w:lvlText w:val="第%1章 "/>
      <w:lvlJc w:val="center"/>
      <w:pPr>
        <w:tabs>
          <w:tab w:val="left" w:pos="0"/>
        </w:tabs>
        <w:ind w:left="0" w:firstLine="402"/>
      </w:pPr>
      <w:rPr>
        <w:rFonts w:hint="eastAsia" w:ascii="方正小标宋简体" w:hAnsi="方正小标宋简体" w:eastAsia="方正小标宋简体" w:cs="方正小标宋简体"/>
        <w:sz w:val="36"/>
        <w:szCs w:val="36"/>
      </w:rPr>
    </w:lvl>
    <w:lvl w:ilvl="1" w:tentative="0">
      <w:start w:val="1"/>
      <w:numFmt w:val="chineseCounting"/>
      <w:suff w:val="space"/>
      <w:lvlText w:val="第%2节"/>
      <w:lvlJc w:val="center"/>
      <w:pPr>
        <w:tabs>
          <w:tab w:val="left" w:pos="420"/>
        </w:tabs>
        <w:ind w:left="0" w:firstLine="402"/>
      </w:pPr>
      <w:rPr>
        <w:rFonts w:hint="eastAsia" w:eastAsia="黑体"/>
        <w:sz w:val="32"/>
      </w:rPr>
    </w:lvl>
    <w:lvl w:ilvl="2" w:tentative="0">
      <w:start w:val="1"/>
      <w:numFmt w:val="decimal"/>
      <w:lvlRestart w:val="0"/>
      <w:suff w:val="space"/>
      <w:lvlText w:val="第%3条"/>
      <w:lvlJc w:val="left"/>
      <w:pPr>
        <w:ind w:left="0" w:firstLine="0"/>
      </w:pPr>
      <w:rPr>
        <w:rFonts w:hint="eastAsia" w:eastAsia="楷体"/>
        <w:sz w:val="32"/>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yYTk2NWEzNGU5YWNiODQ1MTQ1YWMxYWJlZTIwYmMifQ=="/>
  </w:docVars>
  <w:rsids>
    <w:rsidRoot w:val="00FF31EA"/>
    <w:rsid w:val="00011781"/>
    <w:rsid w:val="00012E3E"/>
    <w:rsid w:val="0001635A"/>
    <w:rsid w:val="000217B4"/>
    <w:rsid w:val="000928BC"/>
    <w:rsid w:val="000D7553"/>
    <w:rsid w:val="000F7ABE"/>
    <w:rsid w:val="0011761F"/>
    <w:rsid w:val="00163551"/>
    <w:rsid w:val="001A78E7"/>
    <w:rsid w:val="001B0182"/>
    <w:rsid w:val="001C7FF3"/>
    <w:rsid w:val="001F5F86"/>
    <w:rsid w:val="002327D2"/>
    <w:rsid w:val="002949A8"/>
    <w:rsid w:val="002B5D50"/>
    <w:rsid w:val="00306403"/>
    <w:rsid w:val="00324E5D"/>
    <w:rsid w:val="00342219"/>
    <w:rsid w:val="003E3657"/>
    <w:rsid w:val="0041750D"/>
    <w:rsid w:val="00426B00"/>
    <w:rsid w:val="00460378"/>
    <w:rsid w:val="004A01DA"/>
    <w:rsid w:val="004A515B"/>
    <w:rsid w:val="004B11C3"/>
    <w:rsid w:val="004B3610"/>
    <w:rsid w:val="004E61D5"/>
    <w:rsid w:val="00501F33"/>
    <w:rsid w:val="00580C7D"/>
    <w:rsid w:val="005A5842"/>
    <w:rsid w:val="005C01D7"/>
    <w:rsid w:val="005D5965"/>
    <w:rsid w:val="005F1D9D"/>
    <w:rsid w:val="00621F5D"/>
    <w:rsid w:val="00660F41"/>
    <w:rsid w:val="00662D09"/>
    <w:rsid w:val="006E6E0E"/>
    <w:rsid w:val="00722590"/>
    <w:rsid w:val="00737151"/>
    <w:rsid w:val="007D36E9"/>
    <w:rsid w:val="007E2271"/>
    <w:rsid w:val="007E31C5"/>
    <w:rsid w:val="00842B99"/>
    <w:rsid w:val="008878D1"/>
    <w:rsid w:val="008B73C2"/>
    <w:rsid w:val="008D510C"/>
    <w:rsid w:val="008E582F"/>
    <w:rsid w:val="008F3BC1"/>
    <w:rsid w:val="00902FF0"/>
    <w:rsid w:val="00963BD8"/>
    <w:rsid w:val="00975C53"/>
    <w:rsid w:val="009926FE"/>
    <w:rsid w:val="00A17071"/>
    <w:rsid w:val="00A36B68"/>
    <w:rsid w:val="00A46C32"/>
    <w:rsid w:val="00A72870"/>
    <w:rsid w:val="00AA173B"/>
    <w:rsid w:val="00B710E4"/>
    <w:rsid w:val="00B82706"/>
    <w:rsid w:val="00B9298E"/>
    <w:rsid w:val="00BB4846"/>
    <w:rsid w:val="00BC1BC9"/>
    <w:rsid w:val="00BE5727"/>
    <w:rsid w:val="00C40DF6"/>
    <w:rsid w:val="00C524CC"/>
    <w:rsid w:val="00C734D4"/>
    <w:rsid w:val="00CE11EE"/>
    <w:rsid w:val="00D0708A"/>
    <w:rsid w:val="00DB5D0C"/>
    <w:rsid w:val="00E144C1"/>
    <w:rsid w:val="00E45CA4"/>
    <w:rsid w:val="00EC526E"/>
    <w:rsid w:val="00ED7838"/>
    <w:rsid w:val="00F51602"/>
    <w:rsid w:val="00FA3032"/>
    <w:rsid w:val="00FF31EA"/>
    <w:rsid w:val="011473B7"/>
    <w:rsid w:val="012B65EB"/>
    <w:rsid w:val="01322CFC"/>
    <w:rsid w:val="01CD5A5E"/>
    <w:rsid w:val="02586234"/>
    <w:rsid w:val="025F0467"/>
    <w:rsid w:val="0273183E"/>
    <w:rsid w:val="02966469"/>
    <w:rsid w:val="02F4124E"/>
    <w:rsid w:val="03023DD9"/>
    <w:rsid w:val="03463624"/>
    <w:rsid w:val="03630A44"/>
    <w:rsid w:val="03A56983"/>
    <w:rsid w:val="03DD1CE2"/>
    <w:rsid w:val="03EF191E"/>
    <w:rsid w:val="042666AC"/>
    <w:rsid w:val="04451FA4"/>
    <w:rsid w:val="047B544F"/>
    <w:rsid w:val="04850CF2"/>
    <w:rsid w:val="04AE4E56"/>
    <w:rsid w:val="04EE6171"/>
    <w:rsid w:val="051536FE"/>
    <w:rsid w:val="058E7D29"/>
    <w:rsid w:val="05C2536D"/>
    <w:rsid w:val="05C83808"/>
    <w:rsid w:val="05EB7C2D"/>
    <w:rsid w:val="069A7F33"/>
    <w:rsid w:val="06F63007"/>
    <w:rsid w:val="076369A2"/>
    <w:rsid w:val="07740DED"/>
    <w:rsid w:val="07766A00"/>
    <w:rsid w:val="07B70A9C"/>
    <w:rsid w:val="081B3AF2"/>
    <w:rsid w:val="081E4FBF"/>
    <w:rsid w:val="082246A7"/>
    <w:rsid w:val="08386799"/>
    <w:rsid w:val="08CC67C9"/>
    <w:rsid w:val="09931095"/>
    <w:rsid w:val="099454D5"/>
    <w:rsid w:val="09A046F0"/>
    <w:rsid w:val="0A0A0275"/>
    <w:rsid w:val="0A7D3245"/>
    <w:rsid w:val="0AD76B5C"/>
    <w:rsid w:val="0B64444D"/>
    <w:rsid w:val="0B7218AA"/>
    <w:rsid w:val="0B7D3DAB"/>
    <w:rsid w:val="0B860374"/>
    <w:rsid w:val="0B9921F3"/>
    <w:rsid w:val="0BDB744F"/>
    <w:rsid w:val="0BEB62B4"/>
    <w:rsid w:val="0C043BE6"/>
    <w:rsid w:val="0C310F57"/>
    <w:rsid w:val="0C923886"/>
    <w:rsid w:val="0CC06BBB"/>
    <w:rsid w:val="0D014B58"/>
    <w:rsid w:val="0D0D5092"/>
    <w:rsid w:val="0D1E4EEA"/>
    <w:rsid w:val="0D270214"/>
    <w:rsid w:val="0D51729D"/>
    <w:rsid w:val="0D9F2063"/>
    <w:rsid w:val="0DC42165"/>
    <w:rsid w:val="0E0128D2"/>
    <w:rsid w:val="0E8D07A9"/>
    <w:rsid w:val="0EA664FC"/>
    <w:rsid w:val="0ED22486"/>
    <w:rsid w:val="0F2033CB"/>
    <w:rsid w:val="107656DB"/>
    <w:rsid w:val="10A83678"/>
    <w:rsid w:val="10A97BD3"/>
    <w:rsid w:val="10BC731B"/>
    <w:rsid w:val="10C85AC8"/>
    <w:rsid w:val="1196619E"/>
    <w:rsid w:val="11B1285C"/>
    <w:rsid w:val="11F47A02"/>
    <w:rsid w:val="12115F7E"/>
    <w:rsid w:val="129A54E3"/>
    <w:rsid w:val="12AA7B7B"/>
    <w:rsid w:val="12D469A6"/>
    <w:rsid w:val="130059ED"/>
    <w:rsid w:val="13015BB1"/>
    <w:rsid w:val="13B530A1"/>
    <w:rsid w:val="140137CB"/>
    <w:rsid w:val="14180B15"/>
    <w:rsid w:val="14305E5E"/>
    <w:rsid w:val="143213CE"/>
    <w:rsid w:val="14515DD5"/>
    <w:rsid w:val="14637194"/>
    <w:rsid w:val="148461AA"/>
    <w:rsid w:val="14A801CE"/>
    <w:rsid w:val="14CB202B"/>
    <w:rsid w:val="14D67C08"/>
    <w:rsid w:val="152B2B88"/>
    <w:rsid w:val="15604E91"/>
    <w:rsid w:val="15621D88"/>
    <w:rsid w:val="15791A87"/>
    <w:rsid w:val="15BB3AEC"/>
    <w:rsid w:val="15F634F6"/>
    <w:rsid w:val="162A1EF2"/>
    <w:rsid w:val="163836F0"/>
    <w:rsid w:val="163C4F8E"/>
    <w:rsid w:val="16824978"/>
    <w:rsid w:val="16AB7654"/>
    <w:rsid w:val="17026431"/>
    <w:rsid w:val="17297CE9"/>
    <w:rsid w:val="172E0C15"/>
    <w:rsid w:val="17764F54"/>
    <w:rsid w:val="17DB07D7"/>
    <w:rsid w:val="181635BD"/>
    <w:rsid w:val="18265E3C"/>
    <w:rsid w:val="18377667"/>
    <w:rsid w:val="186330FA"/>
    <w:rsid w:val="18711C2C"/>
    <w:rsid w:val="18934C0E"/>
    <w:rsid w:val="18E3582D"/>
    <w:rsid w:val="18F03E0E"/>
    <w:rsid w:val="19061883"/>
    <w:rsid w:val="192F37E6"/>
    <w:rsid w:val="197A447D"/>
    <w:rsid w:val="1A101720"/>
    <w:rsid w:val="1A5456B4"/>
    <w:rsid w:val="1A815666"/>
    <w:rsid w:val="1A907657"/>
    <w:rsid w:val="1AB601E2"/>
    <w:rsid w:val="1B522B5E"/>
    <w:rsid w:val="1B6760A0"/>
    <w:rsid w:val="1B762CF0"/>
    <w:rsid w:val="1BDC1450"/>
    <w:rsid w:val="1BF21F16"/>
    <w:rsid w:val="1C321CE3"/>
    <w:rsid w:val="1C5A6BCE"/>
    <w:rsid w:val="1C781659"/>
    <w:rsid w:val="1CD001DE"/>
    <w:rsid w:val="1D0460DA"/>
    <w:rsid w:val="1D07523B"/>
    <w:rsid w:val="1D1835A3"/>
    <w:rsid w:val="1D5F1562"/>
    <w:rsid w:val="1D8202B0"/>
    <w:rsid w:val="1D8A61E1"/>
    <w:rsid w:val="1DB25B36"/>
    <w:rsid w:val="1DD665AC"/>
    <w:rsid w:val="1DD957B9"/>
    <w:rsid w:val="1DE06B47"/>
    <w:rsid w:val="1DE45BA1"/>
    <w:rsid w:val="1E527C9D"/>
    <w:rsid w:val="1F100D66"/>
    <w:rsid w:val="1F126200"/>
    <w:rsid w:val="1F2D0889"/>
    <w:rsid w:val="1FC32AC2"/>
    <w:rsid w:val="202A22FB"/>
    <w:rsid w:val="202C0532"/>
    <w:rsid w:val="204333BD"/>
    <w:rsid w:val="205B0707"/>
    <w:rsid w:val="20681E4A"/>
    <w:rsid w:val="20B41BC5"/>
    <w:rsid w:val="20E970AB"/>
    <w:rsid w:val="20FD3AA1"/>
    <w:rsid w:val="21091F11"/>
    <w:rsid w:val="21845A3B"/>
    <w:rsid w:val="21CE72D5"/>
    <w:rsid w:val="21D5097E"/>
    <w:rsid w:val="21DA1AFF"/>
    <w:rsid w:val="21F04E7F"/>
    <w:rsid w:val="21F52495"/>
    <w:rsid w:val="21F7214A"/>
    <w:rsid w:val="221D1622"/>
    <w:rsid w:val="226B2757"/>
    <w:rsid w:val="22995516"/>
    <w:rsid w:val="22A939AB"/>
    <w:rsid w:val="22EA5023"/>
    <w:rsid w:val="22EC3898"/>
    <w:rsid w:val="22F56BF1"/>
    <w:rsid w:val="233F1C1A"/>
    <w:rsid w:val="24092228"/>
    <w:rsid w:val="242237AD"/>
    <w:rsid w:val="245931AF"/>
    <w:rsid w:val="245C1365"/>
    <w:rsid w:val="24B50BAB"/>
    <w:rsid w:val="25017F12"/>
    <w:rsid w:val="252A06A8"/>
    <w:rsid w:val="2538537B"/>
    <w:rsid w:val="256242E5"/>
    <w:rsid w:val="25A466AC"/>
    <w:rsid w:val="260B1F9A"/>
    <w:rsid w:val="26A90E1D"/>
    <w:rsid w:val="26D40A1C"/>
    <w:rsid w:val="272A41EC"/>
    <w:rsid w:val="274B268E"/>
    <w:rsid w:val="27736336"/>
    <w:rsid w:val="27CC1EEA"/>
    <w:rsid w:val="27D8263D"/>
    <w:rsid w:val="28080F87"/>
    <w:rsid w:val="28120308"/>
    <w:rsid w:val="284A6463"/>
    <w:rsid w:val="284B3152"/>
    <w:rsid w:val="28677224"/>
    <w:rsid w:val="288A7DDB"/>
    <w:rsid w:val="28954A88"/>
    <w:rsid w:val="28C27345"/>
    <w:rsid w:val="28CD229B"/>
    <w:rsid w:val="28F40963"/>
    <w:rsid w:val="2A1113DA"/>
    <w:rsid w:val="2A1424FC"/>
    <w:rsid w:val="2A297CE3"/>
    <w:rsid w:val="2A5B051C"/>
    <w:rsid w:val="2A757BCD"/>
    <w:rsid w:val="2A8D3BB3"/>
    <w:rsid w:val="2ABC1DA2"/>
    <w:rsid w:val="2AC80294"/>
    <w:rsid w:val="2ACB1715"/>
    <w:rsid w:val="2B175140"/>
    <w:rsid w:val="2B2838DB"/>
    <w:rsid w:val="2C11436F"/>
    <w:rsid w:val="2C464019"/>
    <w:rsid w:val="2C632D62"/>
    <w:rsid w:val="2C7A4BC0"/>
    <w:rsid w:val="2C8E3C12"/>
    <w:rsid w:val="2CA43435"/>
    <w:rsid w:val="2CAB0320"/>
    <w:rsid w:val="2CB43CD7"/>
    <w:rsid w:val="2CBF3326"/>
    <w:rsid w:val="2CC633AC"/>
    <w:rsid w:val="2CF73565"/>
    <w:rsid w:val="2CFA4E04"/>
    <w:rsid w:val="2D546AE7"/>
    <w:rsid w:val="2D7B0A4D"/>
    <w:rsid w:val="2D83129D"/>
    <w:rsid w:val="2E103FE8"/>
    <w:rsid w:val="2E1440E1"/>
    <w:rsid w:val="2E61471A"/>
    <w:rsid w:val="2E75400D"/>
    <w:rsid w:val="2F3E36CD"/>
    <w:rsid w:val="2F6A6270"/>
    <w:rsid w:val="2F6D3FB3"/>
    <w:rsid w:val="2F7075FF"/>
    <w:rsid w:val="2FC6725C"/>
    <w:rsid w:val="2FCC0796"/>
    <w:rsid w:val="30744ECD"/>
    <w:rsid w:val="30771203"/>
    <w:rsid w:val="30AC3E18"/>
    <w:rsid w:val="30B856E6"/>
    <w:rsid w:val="30D240B2"/>
    <w:rsid w:val="30D550F3"/>
    <w:rsid w:val="30DA503B"/>
    <w:rsid w:val="316311C9"/>
    <w:rsid w:val="31D125D7"/>
    <w:rsid w:val="322F1807"/>
    <w:rsid w:val="3281014D"/>
    <w:rsid w:val="32AD4F43"/>
    <w:rsid w:val="32F32A21"/>
    <w:rsid w:val="331429F5"/>
    <w:rsid w:val="332A09AF"/>
    <w:rsid w:val="333F17C2"/>
    <w:rsid w:val="336E20A7"/>
    <w:rsid w:val="33E365F1"/>
    <w:rsid w:val="33FD3B57"/>
    <w:rsid w:val="342E5EA8"/>
    <w:rsid w:val="3445105A"/>
    <w:rsid w:val="34497927"/>
    <w:rsid w:val="344A6FB9"/>
    <w:rsid w:val="344C0532"/>
    <w:rsid w:val="344E4A90"/>
    <w:rsid w:val="34A2025B"/>
    <w:rsid w:val="34E42621"/>
    <w:rsid w:val="35F13EE2"/>
    <w:rsid w:val="36033090"/>
    <w:rsid w:val="364D5AE2"/>
    <w:rsid w:val="369135F2"/>
    <w:rsid w:val="36965B9D"/>
    <w:rsid w:val="36CB4F78"/>
    <w:rsid w:val="36FD3E6E"/>
    <w:rsid w:val="370928A8"/>
    <w:rsid w:val="372C4753"/>
    <w:rsid w:val="3790083E"/>
    <w:rsid w:val="37BD6A22"/>
    <w:rsid w:val="37D416A4"/>
    <w:rsid w:val="37E961A0"/>
    <w:rsid w:val="37FF0F7D"/>
    <w:rsid w:val="382D0783"/>
    <w:rsid w:val="383F08C7"/>
    <w:rsid w:val="385F2104"/>
    <w:rsid w:val="389F72F3"/>
    <w:rsid w:val="38A41AB9"/>
    <w:rsid w:val="38D263CD"/>
    <w:rsid w:val="38E80300"/>
    <w:rsid w:val="38ED7091"/>
    <w:rsid w:val="38FC3783"/>
    <w:rsid w:val="39041767"/>
    <w:rsid w:val="390F1C37"/>
    <w:rsid w:val="393974B7"/>
    <w:rsid w:val="3954298D"/>
    <w:rsid w:val="39B80E0F"/>
    <w:rsid w:val="39DC3654"/>
    <w:rsid w:val="39DC4F2E"/>
    <w:rsid w:val="3A1A3DCB"/>
    <w:rsid w:val="3A7112DC"/>
    <w:rsid w:val="3A836F9D"/>
    <w:rsid w:val="3AAC17E3"/>
    <w:rsid w:val="3B2764E2"/>
    <w:rsid w:val="3B4D04CF"/>
    <w:rsid w:val="3B781D15"/>
    <w:rsid w:val="3C0B0DDB"/>
    <w:rsid w:val="3C0B4937"/>
    <w:rsid w:val="3C8857CF"/>
    <w:rsid w:val="3C9137A6"/>
    <w:rsid w:val="3CAC611A"/>
    <w:rsid w:val="3D466E70"/>
    <w:rsid w:val="3D9C6FA1"/>
    <w:rsid w:val="3DA872AF"/>
    <w:rsid w:val="3DD12F6D"/>
    <w:rsid w:val="3DF859AA"/>
    <w:rsid w:val="3E1F618F"/>
    <w:rsid w:val="3E482FEA"/>
    <w:rsid w:val="3E594080"/>
    <w:rsid w:val="3E9864DA"/>
    <w:rsid w:val="3E9A01F4"/>
    <w:rsid w:val="3EDB2CE7"/>
    <w:rsid w:val="3EFE04A8"/>
    <w:rsid w:val="3F161F71"/>
    <w:rsid w:val="3F40190D"/>
    <w:rsid w:val="3F5D6C99"/>
    <w:rsid w:val="3F656A54"/>
    <w:rsid w:val="3F696A4B"/>
    <w:rsid w:val="3F8D1667"/>
    <w:rsid w:val="3FAD7BD5"/>
    <w:rsid w:val="3FFA719D"/>
    <w:rsid w:val="4033133F"/>
    <w:rsid w:val="404E3B19"/>
    <w:rsid w:val="406959DF"/>
    <w:rsid w:val="408E5B37"/>
    <w:rsid w:val="40BD52DB"/>
    <w:rsid w:val="41250249"/>
    <w:rsid w:val="41696778"/>
    <w:rsid w:val="41A77BAD"/>
    <w:rsid w:val="41CE6B33"/>
    <w:rsid w:val="41D34149"/>
    <w:rsid w:val="42025BE2"/>
    <w:rsid w:val="42755200"/>
    <w:rsid w:val="427F7E2D"/>
    <w:rsid w:val="42B46AD7"/>
    <w:rsid w:val="42E451B2"/>
    <w:rsid w:val="430926DF"/>
    <w:rsid w:val="436B215F"/>
    <w:rsid w:val="437D7F94"/>
    <w:rsid w:val="43D22443"/>
    <w:rsid w:val="44024872"/>
    <w:rsid w:val="445F2196"/>
    <w:rsid w:val="449F47B6"/>
    <w:rsid w:val="4594599D"/>
    <w:rsid w:val="45D06881"/>
    <w:rsid w:val="45F3085F"/>
    <w:rsid w:val="46B53E1D"/>
    <w:rsid w:val="46D115B3"/>
    <w:rsid w:val="46E14C12"/>
    <w:rsid w:val="46EE732F"/>
    <w:rsid w:val="47170634"/>
    <w:rsid w:val="47676030"/>
    <w:rsid w:val="47863A0C"/>
    <w:rsid w:val="47A143A2"/>
    <w:rsid w:val="483B65A4"/>
    <w:rsid w:val="488E28EE"/>
    <w:rsid w:val="490401B5"/>
    <w:rsid w:val="491D0869"/>
    <w:rsid w:val="49276B29"/>
    <w:rsid w:val="493E14CE"/>
    <w:rsid w:val="49443F56"/>
    <w:rsid w:val="497A30FC"/>
    <w:rsid w:val="499623A8"/>
    <w:rsid w:val="49AD1F8F"/>
    <w:rsid w:val="49C66341"/>
    <w:rsid w:val="49D75107"/>
    <w:rsid w:val="4A5F3AFB"/>
    <w:rsid w:val="4A6873F9"/>
    <w:rsid w:val="4AAB5508"/>
    <w:rsid w:val="4AC704AC"/>
    <w:rsid w:val="4AEC6ADB"/>
    <w:rsid w:val="4AEE5B50"/>
    <w:rsid w:val="4AFD531A"/>
    <w:rsid w:val="4B2D7D6E"/>
    <w:rsid w:val="4B4C0AE3"/>
    <w:rsid w:val="4B6E7C78"/>
    <w:rsid w:val="4B9304A5"/>
    <w:rsid w:val="4BC56E13"/>
    <w:rsid w:val="4BF23AB0"/>
    <w:rsid w:val="4C141691"/>
    <w:rsid w:val="4C2B19CE"/>
    <w:rsid w:val="4C362654"/>
    <w:rsid w:val="4C3C1CED"/>
    <w:rsid w:val="4C6C01FB"/>
    <w:rsid w:val="4C800A2A"/>
    <w:rsid w:val="4C8561E0"/>
    <w:rsid w:val="4C945E63"/>
    <w:rsid w:val="4CF0766F"/>
    <w:rsid w:val="4D001B6A"/>
    <w:rsid w:val="4D275349"/>
    <w:rsid w:val="4D477799"/>
    <w:rsid w:val="4D5A4114"/>
    <w:rsid w:val="4D6B5BB3"/>
    <w:rsid w:val="4D9D560B"/>
    <w:rsid w:val="4DF320CF"/>
    <w:rsid w:val="4E090986"/>
    <w:rsid w:val="4E297E42"/>
    <w:rsid w:val="4E726795"/>
    <w:rsid w:val="4EB115E6"/>
    <w:rsid w:val="4ED56DFF"/>
    <w:rsid w:val="4F7725B8"/>
    <w:rsid w:val="4FC06B72"/>
    <w:rsid w:val="50710A42"/>
    <w:rsid w:val="50830AE8"/>
    <w:rsid w:val="50B53513"/>
    <w:rsid w:val="50B95EE8"/>
    <w:rsid w:val="50E15EEC"/>
    <w:rsid w:val="512D4801"/>
    <w:rsid w:val="512E5950"/>
    <w:rsid w:val="51422751"/>
    <w:rsid w:val="519A6E77"/>
    <w:rsid w:val="51DB42C9"/>
    <w:rsid w:val="5221680B"/>
    <w:rsid w:val="52432C25"/>
    <w:rsid w:val="524A49BF"/>
    <w:rsid w:val="52E32275"/>
    <w:rsid w:val="539E1985"/>
    <w:rsid w:val="53E2646E"/>
    <w:rsid w:val="53E6668D"/>
    <w:rsid w:val="540463E4"/>
    <w:rsid w:val="542B6B1A"/>
    <w:rsid w:val="54DA6DF2"/>
    <w:rsid w:val="555B2034"/>
    <w:rsid w:val="55674E7D"/>
    <w:rsid w:val="557970E0"/>
    <w:rsid w:val="564F0925"/>
    <w:rsid w:val="56992E4D"/>
    <w:rsid w:val="573107C2"/>
    <w:rsid w:val="57680A38"/>
    <w:rsid w:val="57A815DE"/>
    <w:rsid w:val="57D76F1D"/>
    <w:rsid w:val="5813309A"/>
    <w:rsid w:val="581A3786"/>
    <w:rsid w:val="583D15AC"/>
    <w:rsid w:val="58825B29"/>
    <w:rsid w:val="58F702C5"/>
    <w:rsid w:val="59A51ADC"/>
    <w:rsid w:val="59F0701A"/>
    <w:rsid w:val="59FD694D"/>
    <w:rsid w:val="5A3F70AD"/>
    <w:rsid w:val="5A875679"/>
    <w:rsid w:val="5AA63D51"/>
    <w:rsid w:val="5ACB37B8"/>
    <w:rsid w:val="5ADF0AE4"/>
    <w:rsid w:val="5AE310D7"/>
    <w:rsid w:val="5AE96F8D"/>
    <w:rsid w:val="5B3A0742"/>
    <w:rsid w:val="5B490B80"/>
    <w:rsid w:val="5BC00E43"/>
    <w:rsid w:val="5BEC1C38"/>
    <w:rsid w:val="5C205D85"/>
    <w:rsid w:val="5C5477DD"/>
    <w:rsid w:val="5C846314"/>
    <w:rsid w:val="5C910A31"/>
    <w:rsid w:val="5C9E60E5"/>
    <w:rsid w:val="5CA644DC"/>
    <w:rsid w:val="5CCB3F43"/>
    <w:rsid w:val="5CEB1EEF"/>
    <w:rsid w:val="5D044439"/>
    <w:rsid w:val="5D5E0913"/>
    <w:rsid w:val="5DE51034"/>
    <w:rsid w:val="5E122200"/>
    <w:rsid w:val="5E1611EE"/>
    <w:rsid w:val="5E1A4B1D"/>
    <w:rsid w:val="5E2D02C6"/>
    <w:rsid w:val="5E2F269E"/>
    <w:rsid w:val="5EA276B0"/>
    <w:rsid w:val="5EBE7E0C"/>
    <w:rsid w:val="5EF11892"/>
    <w:rsid w:val="5EFA0B0F"/>
    <w:rsid w:val="5EFD3C22"/>
    <w:rsid w:val="5F625F05"/>
    <w:rsid w:val="5FDC6D68"/>
    <w:rsid w:val="5FE80968"/>
    <w:rsid w:val="604C539B"/>
    <w:rsid w:val="6098413C"/>
    <w:rsid w:val="60A54AAB"/>
    <w:rsid w:val="60D00DD4"/>
    <w:rsid w:val="60FB45A6"/>
    <w:rsid w:val="61311B18"/>
    <w:rsid w:val="61477E01"/>
    <w:rsid w:val="61A8755D"/>
    <w:rsid w:val="61D94C85"/>
    <w:rsid w:val="622735E4"/>
    <w:rsid w:val="62301A74"/>
    <w:rsid w:val="624800E7"/>
    <w:rsid w:val="62611240"/>
    <w:rsid w:val="62A3501A"/>
    <w:rsid w:val="62BF00A6"/>
    <w:rsid w:val="62F0121F"/>
    <w:rsid w:val="62FD4924"/>
    <w:rsid w:val="63161C90"/>
    <w:rsid w:val="632B573B"/>
    <w:rsid w:val="63551A75"/>
    <w:rsid w:val="639257BA"/>
    <w:rsid w:val="644605B2"/>
    <w:rsid w:val="647924D6"/>
    <w:rsid w:val="647D6C20"/>
    <w:rsid w:val="64966BE4"/>
    <w:rsid w:val="64A13B2C"/>
    <w:rsid w:val="64B917DA"/>
    <w:rsid w:val="64BB3955"/>
    <w:rsid w:val="65192E73"/>
    <w:rsid w:val="653D1756"/>
    <w:rsid w:val="657344AA"/>
    <w:rsid w:val="65CE0600"/>
    <w:rsid w:val="65D57BE0"/>
    <w:rsid w:val="66563CA6"/>
    <w:rsid w:val="66576847"/>
    <w:rsid w:val="665F4CCF"/>
    <w:rsid w:val="666B2B9F"/>
    <w:rsid w:val="666E7C06"/>
    <w:rsid w:val="67723082"/>
    <w:rsid w:val="67C577E1"/>
    <w:rsid w:val="67E36AB5"/>
    <w:rsid w:val="67F105D6"/>
    <w:rsid w:val="68232E85"/>
    <w:rsid w:val="686362D9"/>
    <w:rsid w:val="690507DD"/>
    <w:rsid w:val="69495E85"/>
    <w:rsid w:val="69561038"/>
    <w:rsid w:val="69AD4733"/>
    <w:rsid w:val="6A90057A"/>
    <w:rsid w:val="6AE16A36"/>
    <w:rsid w:val="6B340F05"/>
    <w:rsid w:val="6B482C03"/>
    <w:rsid w:val="6B5B7A07"/>
    <w:rsid w:val="6B8901C2"/>
    <w:rsid w:val="6BC71D79"/>
    <w:rsid w:val="6CF748E0"/>
    <w:rsid w:val="6D162FB8"/>
    <w:rsid w:val="6D367CFD"/>
    <w:rsid w:val="6D615086"/>
    <w:rsid w:val="6D64522B"/>
    <w:rsid w:val="6D801DEE"/>
    <w:rsid w:val="6D8E6FF3"/>
    <w:rsid w:val="6DB55B8D"/>
    <w:rsid w:val="6DDF459D"/>
    <w:rsid w:val="6E11552E"/>
    <w:rsid w:val="6E2D3429"/>
    <w:rsid w:val="6E427DDD"/>
    <w:rsid w:val="6E620301"/>
    <w:rsid w:val="6E9817AB"/>
    <w:rsid w:val="6E9C129B"/>
    <w:rsid w:val="6EBE2CA5"/>
    <w:rsid w:val="6EEA6ECE"/>
    <w:rsid w:val="6F1B1687"/>
    <w:rsid w:val="6F65003D"/>
    <w:rsid w:val="6FB84A4C"/>
    <w:rsid w:val="6FCC7574"/>
    <w:rsid w:val="6FEC6252"/>
    <w:rsid w:val="6FF375E1"/>
    <w:rsid w:val="70131A31"/>
    <w:rsid w:val="701A081D"/>
    <w:rsid w:val="705B3B76"/>
    <w:rsid w:val="70DA0257"/>
    <w:rsid w:val="71BB707B"/>
    <w:rsid w:val="71C16DC6"/>
    <w:rsid w:val="71C4142A"/>
    <w:rsid w:val="71CC633B"/>
    <w:rsid w:val="720C1171"/>
    <w:rsid w:val="72236D90"/>
    <w:rsid w:val="7242215A"/>
    <w:rsid w:val="724F4877"/>
    <w:rsid w:val="729606F7"/>
    <w:rsid w:val="72BC63B0"/>
    <w:rsid w:val="73357F10"/>
    <w:rsid w:val="73A82490"/>
    <w:rsid w:val="73ED32FD"/>
    <w:rsid w:val="743261FE"/>
    <w:rsid w:val="745A5E80"/>
    <w:rsid w:val="74706AF9"/>
    <w:rsid w:val="74A2197E"/>
    <w:rsid w:val="74C02609"/>
    <w:rsid w:val="74DD5B88"/>
    <w:rsid w:val="74F55201"/>
    <w:rsid w:val="753C4F41"/>
    <w:rsid w:val="758B1C18"/>
    <w:rsid w:val="759C4277"/>
    <w:rsid w:val="75B30A17"/>
    <w:rsid w:val="763C3364"/>
    <w:rsid w:val="76B733CA"/>
    <w:rsid w:val="76D67314"/>
    <w:rsid w:val="775F37AE"/>
    <w:rsid w:val="776D5ECB"/>
    <w:rsid w:val="77780DA6"/>
    <w:rsid w:val="77F51A1C"/>
    <w:rsid w:val="780F3831"/>
    <w:rsid w:val="781E2BBE"/>
    <w:rsid w:val="784509BF"/>
    <w:rsid w:val="787B0173"/>
    <w:rsid w:val="78AD230B"/>
    <w:rsid w:val="78CA57EC"/>
    <w:rsid w:val="78CC114D"/>
    <w:rsid w:val="794D2C29"/>
    <w:rsid w:val="7977394B"/>
    <w:rsid w:val="79B17912"/>
    <w:rsid w:val="79FE105C"/>
    <w:rsid w:val="7A1C2662"/>
    <w:rsid w:val="7AC83418"/>
    <w:rsid w:val="7B38225B"/>
    <w:rsid w:val="7B5D0E67"/>
    <w:rsid w:val="7B7C4A1E"/>
    <w:rsid w:val="7B924E85"/>
    <w:rsid w:val="7BB0778E"/>
    <w:rsid w:val="7BC65BA9"/>
    <w:rsid w:val="7C0155B9"/>
    <w:rsid w:val="7C050322"/>
    <w:rsid w:val="7C0E7177"/>
    <w:rsid w:val="7C2E374F"/>
    <w:rsid w:val="7C3E75CE"/>
    <w:rsid w:val="7C611D76"/>
    <w:rsid w:val="7C6E70DF"/>
    <w:rsid w:val="7C7A7ECB"/>
    <w:rsid w:val="7CA13F21"/>
    <w:rsid w:val="7CED237D"/>
    <w:rsid w:val="7D8948E1"/>
    <w:rsid w:val="7DFB1059"/>
    <w:rsid w:val="7E186464"/>
    <w:rsid w:val="7E4F632A"/>
    <w:rsid w:val="7E7159A1"/>
    <w:rsid w:val="7ED84B85"/>
    <w:rsid w:val="7EE06F82"/>
    <w:rsid w:val="7F7C358F"/>
    <w:rsid w:val="7FB0104A"/>
    <w:rsid w:val="7FD102AE"/>
    <w:rsid w:val="7FF65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仿宋" w:hAnsi="仿宋" w:eastAsia="仿宋" w:cs="仿宋"/>
      <w:kern w:val="2"/>
      <w:sz w:val="28"/>
      <w:szCs w:val="28"/>
      <w:lang w:val="en-US" w:eastAsia="zh-CN" w:bidi="ar-SA"/>
    </w:rPr>
  </w:style>
  <w:style w:type="paragraph" w:styleId="3">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4"/>
    <w:unhideWhenUsed/>
    <w:qFormat/>
    <w:uiPriority w:val="9"/>
    <w:pPr>
      <w:keepNext/>
      <w:keepLines/>
      <w:ind w:firstLine="0" w:firstLineChars="0"/>
      <w:jc w:val="center"/>
      <w:outlineLvl w:val="1"/>
    </w:pPr>
    <w:rPr>
      <w:rFonts w:eastAsia="黑体" w:asciiTheme="majorHAnsi" w:hAnsiTheme="majorHAnsi" w:cstheme="majorBidi"/>
      <w:b/>
      <w:bCs/>
      <w:sz w:val="30"/>
      <w:szCs w:val="32"/>
    </w:rPr>
  </w:style>
  <w:style w:type="paragraph" w:styleId="5">
    <w:name w:val="heading 3"/>
    <w:basedOn w:val="1"/>
    <w:next w:val="1"/>
    <w:link w:val="25"/>
    <w:unhideWhenUsed/>
    <w:qFormat/>
    <w:uiPriority w:val="9"/>
    <w:pPr>
      <w:keepNext/>
      <w:keepLines/>
      <w:ind w:firstLine="0" w:firstLineChars="0"/>
      <w:jc w:val="center"/>
      <w:outlineLvl w:val="2"/>
    </w:pPr>
    <w:rPr>
      <w:rFonts w:eastAsia="宋体"/>
      <w:b/>
      <w:bCs/>
      <w:szCs w:val="32"/>
    </w:rPr>
  </w:style>
  <w:style w:type="paragraph" w:styleId="6">
    <w:name w:val="heading 4"/>
    <w:basedOn w:val="1"/>
    <w:next w:val="1"/>
    <w:link w:val="26"/>
    <w:unhideWhenUsed/>
    <w:qFormat/>
    <w:uiPriority w:val="9"/>
    <w:pPr>
      <w:keepNext/>
      <w:keepLines/>
      <w:spacing w:before="91"/>
      <w:ind w:firstLine="0" w:firstLineChars="0"/>
      <w:outlineLvl w:val="3"/>
    </w:pPr>
    <w:rPr>
      <w:b/>
      <w:bCs/>
    </w:rPr>
  </w:style>
  <w:style w:type="paragraph" w:styleId="7">
    <w:name w:val="heading 5"/>
    <w:basedOn w:val="1"/>
    <w:next w:val="1"/>
    <w:qFormat/>
    <w:uiPriority w:val="0"/>
    <w:pPr>
      <w:keepNext/>
      <w:keepLines/>
      <w:spacing w:before="280" w:after="290" w:line="372" w:lineRule="auto"/>
      <w:jc w:val="left"/>
      <w:outlineLvl w:val="4"/>
    </w:pPr>
    <w:rPr>
      <w:b/>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华文仿宋" w:hAnsi="华文仿宋" w:eastAsia="华文仿宋"/>
    </w:rPr>
  </w:style>
  <w:style w:type="paragraph" w:styleId="8">
    <w:name w:val="Normal Indent"/>
    <w:basedOn w:val="1"/>
    <w:qFormat/>
    <w:uiPriority w:val="0"/>
    <w:pPr>
      <w:ind w:firstLine="420"/>
    </w:pPr>
    <w:rPr>
      <w:rFonts w:ascii="Calibri" w:hAnsi="Calibri" w:eastAsia="宋体" w:cs="Times New Roman"/>
    </w:rPr>
  </w:style>
  <w:style w:type="paragraph" w:styleId="9">
    <w:name w:val="annotation text"/>
    <w:basedOn w:val="1"/>
    <w:semiHidden/>
    <w:unhideWhenUsed/>
    <w:qFormat/>
    <w:uiPriority w:val="99"/>
    <w:pPr>
      <w:jc w:val="left"/>
    </w:pPr>
  </w:style>
  <w:style w:type="paragraph" w:styleId="10">
    <w:name w:val="toc 3"/>
    <w:basedOn w:val="1"/>
    <w:next w:val="1"/>
    <w:semiHidden/>
    <w:unhideWhenUsed/>
    <w:qFormat/>
    <w:uiPriority w:val="39"/>
    <w:pPr>
      <w:ind w:left="840" w:leftChars="400"/>
    </w:pPr>
  </w:style>
  <w:style w:type="paragraph" w:styleId="11">
    <w:name w:val="footer"/>
    <w:basedOn w:val="1"/>
    <w:link w:val="23"/>
    <w:unhideWhenUsed/>
    <w:qFormat/>
    <w:uiPriority w:val="99"/>
    <w:pPr>
      <w:tabs>
        <w:tab w:val="center" w:pos="4153"/>
        <w:tab w:val="right" w:pos="8306"/>
      </w:tabs>
      <w:snapToGrid w:val="0"/>
      <w:jc w:val="left"/>
    </w:pPr>
    <w:rPr>
      <w:sz w:val="18"/>
      <w:szCs w:val="18"/>
    </w:rPr>
  </w:style>
  <w:style w:type="paragraph" w:styleId="12">
    <w:name w:val="header"/>
    <w:basedOn w:val="1"/>
    <w:link w:val="22"/>
    <w:unhideWhenUsed/>
    <w:qFormat/>
    <w:uiPriority w:val="99"/>
    <w:pP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toc 2"/>
    <w:basedOn w:val="1"/>
    <w:next w:val="1"/>
    <w:semiHidden/>
    <w:unhideWhenUsed/>
    <w:qFormat/>
    <w:uiPriority w:val="39"/>
    <w:pPr>
      <w:ind w:left="420" w:leftChars="200"/>
    </w:pPr>
  </w:style>
  <w:style w:type="paragraph" w:styleId="15">
    <w:name w:val="Normal (Web)"/>
    <w:basedOn w:val="1"/>
    <w:qFormat/>
    <w:uiPriority w:val="0"/>
    <w:pPr>
      <w:spacing w:before="100" w:beforeAutospacing="1" w:after="100" w:afterAutospacing="1"/>
      <w:jc w:val="left"/>
    </w:pPr>
    <w:rPr>
      <w:rFonts w:cs="Times New Roman"/>
      <w:kern w:val="0"/>
      <w:sz w:val="24"/>
    </w:rPr>
  </w:style>
  <w:style w:type="paragraph" w:styleId="16">
    <w:name w:val="Title"/>
    <w:basedOn w:val="1"/>
    <w:next w:val="1"/>
    <w:qFormat/>
    <w:uiPriority w:val="9"/>
    <w:pPr>
      <w:keepNext/>
      <w:keepLines/>
      <w:spacing w:line="408" w:lineRule="auto"/>
      <w:jc w:val="center"/>
      <w:outlineLvl w:val="0"/>
    </w:pPr>
    <w:rPr>
      <w:b/>
      <w:bCs/>
      <w:color w:val="1A1A1A"/>
      <w:sz w:val="48"/>
      <w:szCs w:val="48"/>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563C1" w:themeColor="hyperlink"/>
      <w:u w:val="single"/>
      <w14:textFill>
        <w14:solidFill>
          <w14:schemeClr w14:val="hlink"/>
        </w14:solidFill>
      </w14:textFill>
    </w:rPr>
  </w:style>
  <w:style w:type="table" w:customStyle="1" w:styleId="21">
    <w:name w:val="三线表2"/>
    <w:basedOn w:val="17"/>
    <w:qFormat/>
    <w:uiPriority w:val="99"/>
    <w:pPr>
      <w:jc w:val="center"/>
    </w:pPr>
    <w:tblPr>
      <w:tblBorders>
        <w:top w:val="single" w:color="auto" w:sz="6" w:space="0"/>
        <w:bottom w:val="single" w:color="auto" w:sz="6" w:space="0"/>
      </w:tblBorders>
    </w:tblPr>
    <w:tcPr>
      <w:vAlign w:val="center"/>
    </w:tcPr>
    <w:tblStylePr w:type="firstRow">
      <w:tcPr>
        <w:tcBorders>
          <w:top w:val="single" w:color="auto" w:sz="6" w:space="0"/>
          <w:left w:val="nil"/>
          <w:bottom w:val="single" w:color="auto" w:sz="2" w:space="0"/>
          <w:right w:val="nil"/>
          <w:insideH w:val="nil"/>
          <w:insideV w:val="nil"/>
          <w:tl2br w:val="nil"/>
          <w:tr2bl w:val="nil"/>
        </w:tcBorders>
      </w:tcPr>
    </w:tblStylePr>
  </w:style>
  <w:style w:type="character" w:customStyle="1" w:styleId="22">
    <w:name w:val="页眉 字符"/>
    <w:basedOn w:val="19"/>
    <w:link w:val="12"/>
    <w:qFormat/>
    <w:uiPriority w:val="99"/>
    <w:rPr>
      <w:sz w:val="18"/>
      <w:szCs w:val="18"/>
    </w:rPr>
  </w:style>
  <w:style w:type="character" w:customStyle="1" w:styleId="23">
    <w:name w:val="页脚 字符"/>
    <w:basedOn w:val="19"/>
    <w:link w:val="11"/>
    <w:qFormat/>
    <w:uiPriority w:val="99"/>
    <w:rPr>
      <w:sz w:val="18"/>
      <w:szCs w:val="18"/>
    </w:rPr>
  </w:style>
  <w:style w:type="character" w:customStyle="1" w:styleId="24">
    <w:name w:val="标题 2 字符"/>
    <w:basedOn w:val="19"/>
    <w:link w:val="4"/>
    <w:qFormat/>
    <w:uiPriority w:val="9"/>
    <w:rPr>
      <w:rFonts w:eastAsia="黑体" w:asciiTheme="majorHAnsi" w:hAnsiTheme="majorHAnsi" w:cstheme="majorBidi"/>
      <w:b/>
      <w:bCs/>
      <w:sz w:val="30"/>
      <w:szCs w:val="32"/>
    </w:rPr>
  </w:style>
  <w:style w:type="character" w:customStyle="1" w:styleId="25">
    <w:name w:val="标题 3 字符"/>
    <w:basedOn w:val="19"/>
    <w:link w:val="5"/>
    <w:qFormat/>
    <w:uiPriority w:val="9"/>
    <w:rPr>
      <w:rFonts w:ascii="仿宋" w:hAnsi="仿宋" w:eastAsia="宋体" w:cs="仿宋"/>
      <w:b/>
      <w:bCs/>
      <w:sz w:val="28"/>
      <w:szCs w:val="32"/>
    </w:rPr>
  </w:style>
  <w:style w:type="character" w:customStyle="1" w:styleId="26">
    <w:name w:val="标题 4 字符"/>
    <w:basedOn w:val="19"/>
    <w:link w:val="6"/>
    <w:qFormat/>
    <w:uiPriority w:val="9"/>
    <w:rPr>
      <w:rFonts w:ascii="仿宋" w:hAnsi="仿宋" w:eastAsia="仿宋" w:cs="仿宋"/>
      <w:b/>
      <w:bCs/>
      <w:sz w:val="28"/>
      <w:szCs w:val="28"/>
    </w:rPr>
  </w:style>
  <w:style w:type="character" w:customStyle="1" w:styleId="27">
    <w:name w:val="标题 1 字符"/>
    <w:basedOn w:val="19"/>
    <w:link w:val="3"/>
    <w:qFormat/>
    <w:uiPriority w:val="9"/>
    <w:rPr>
      <w:rFonts w:ascii="仿宋" w:hAnsi="仿宋" w:eastAsia="仿宋" w:cs="仿宋"/>
      <w:b/>
      <w:bCs/>
      <w:kern w:val="44"/>
      <w:sz w:val="44"/>
      <w:szCs w:val="44"/>
    </w:rPr>
  </w:style>
  <w:style w:type="paragraph" w:styleId="28">
    <w:name w:val="List Paragraph"/>
    <w:basedOn w:val="1"/>
    <w:qFormat/>
    <w:uiPriority w:val="34"/>
    <w:pPr>
      <w:ind w:firstLine="420"/>
    </w:pPr>
  </w:style>
  <w:style w:type="paragraph" w:customStyle="1" w:styleId="29">
    <w:name w:val="nj正文"/>
    <w:basedOn w:val="1"/>
    <w:qFormat/>
    <w:uiPriority w:val="0"/>
    <w:pPr>
      <w:ind w:firstLine="0" w:firstLineChars="0"/>
    </w:pPr>
  </w:style>
  <w:style w:type="paragraph" w:styleId="30">
    <w:name w:val="No Spacing"/>
    <w:basedOn w:val="1"/>
    <w:qFormat/>
    <w:uiPriority w:val="1"/>
    <w:rPr>
      <w:rFonts w:asciiTheme="minorHAnsi" w:hAnsiTheme="minorHAnsi" w:eastAsiaTheme="minorEastAsia" w:cstheme="minorBidi"/>
      <w:sz w:val="22"/>
      <w:szCs w:val="22"/>
    </w:rPr>
  </w:style>
  <w:style w:type="paragraph" w:customStyle="1" w:styleId="31">
    <w:name w:val="表格内容"/>
    <w:basedOn w:val="1"/>
    <w:qFormat/>
    <w:uiPriority w:val="0"/>
    <w:pPr>
      <w:ind w:firstLine="0" w:firstLineChars="0"/>
      <w:jc w:val="center"/>
    </w:pPr>
    <w:rPr>
      <w:rFonts w:ascii="Times New Roman" w:hAnsi="Times New Roman" w:cs="Times New Roman"/>
      <w:sz w:val="21"/>
    </w:rPr>
  </w:style>
  <w:style w:type="paragraph" w:customStyle="1" w:styleId="32">
    <w:name w:val="文本正文"/>
    <w:basedOn w:val="1"/>
    <w:qFormat/>
    <w:uiPriority w:val="0"/>
    <w:pPr>
      <w:spacing w:line="600" w:lineRule="exact"/>
    </w:pPr>
    <w:rPr>
      <w:rFonts w:ascii="Times New Roman" w:hAnsi="Times New Roman" w:eastAsia="仿宋_GB2312" w:cs="Times New Roman"/>
      <w:sz w:val="32"/>
    </w:rPr>
  </w:style>
  <w:style w:type="paragraph" w:customStyle="1" w:styleId="33">
    <w:name w:val="附表1"/>
    <w:basedOn w:val="4"/>
    <w:qFormat/>
    <w:uiPriority w:val="0"/>
    <w:pPr>
      <w:ind w:left="939" w:hanging="939"/>
    </w:pPr>
    <w:rPr>
      <w:szCs w:val="30"/>
    </w:rPr>
  </w:style>
  <w:style w:type="paragraph" w:customStyle="1" w:styleId="34">
    <w:name w:val="附件正文"/>
    <w:basedOn w:val="1"/>
    <w:qFormat/>
    <w:uiPriority w:val="0"/>
    <w:pPr>
      <w:ind w:firstLine="0" w:firstLineChars="0"/>
    </w:pPr>
    <w:rPr>
      <w:rFonts w:eastAsia="仿宋_GB2312" w:asciiTheme="minorHAnsi" w:hAnsiTheme="minorHAnsi" w:cstheme="minorBidi"/>
      <w:sz w:val="21"/>
    </w:rPr>
  </w:style>
  <w:style w:type="paragraph" w:customStyle="1" w:styleId="35">
    <w:name w:val="附录表格文字"/>
    <w:basedOn w:val="1"/>
    <w:qFormat/>
    <w:uiPriority w:val="0"/>
    <w:pPr>
      <w:widowControl/>
      <w:tabs>
        <w:tab w:val="left" w:pos="360"/>
      </w:tabs>
      <w:spacing w:line="240" w:lineRule="auto"/>
      <w:ind w:firstLine="0" w:firstLineChars="0"/>
      <w:jc w:val="center"/>
    </w:pPr>
    <w:rPr>
      <w:rFonts w:hint="eastAsia" w:ascii="Times New Roman" w:hAnsi="Times New Roman" w:cs="等线"/>
      <w:kern w:val="0"/>
      <w:sz w:val="21"/>
      <w:szCs w:val="21"/>
    </w:rPr>
  </w:style>
  <w:style w:type="paragraph" w:customStyle="1" w:styleId="36">
    <w:name w:val="表格文字"/>
    <w:basedOn w:val="1"/>
    <w:qFormat/>
    <w:uiPriority w:val="0"/>
    <w:pPr>
      <w:widowControl/>
      <w:tabs>
        <w:tab w:val="left" w:pos="360"/>
      </w:tabs>
      <w:spacing w:line="240" w:lineRule="auto"/>
      <w:ind w:firstLine="200" w:firstLineChars="200"/>
      <w:jc w:val="center"/>
    </w:pPr>
    <w:rPr>
      <w:rFonts w:ascii="Times New Roman" w:hAnsi="Times New Roman" w:cs="等线"/>
      <w:kern w:val="0"/>
      <w:sz w:val="21"/>
      <w:szCs w:val="21"/>
    </w:rPr>
  </w:style>
  <w:style w:type="paragraph" w:customStyle="1" w:styleId="37">
    <w:name w:val="第n条"/>
    <w:basedOn w:val="5"/>
    <w:qFormat/>
    <w:uiPriority w:val="0"/>
    <w:pPr>
      <w:spacing w:before="312" w:after="312" w:line="560" w:lineRule="exact"/>
      <w:ind w:left="1006" w:hanging="1006"/>
      <w:jc w:val="left"/>
    </w:pPr>
    <w:rPr>
      <w:rFonts w:ascii="黑体" w:hAnsi="Times New Roman" w:eastAsia="黑体" w:cstheme="minorBidi"/>
      <w:sz w:val="32"/>
    </w:rPr>
  </w:style>
  <w:style w:type="paragraph" w:customStyle="1" w:styleId="38">
    <w:name w:val="专栏标题"/>
    <w:basedOn w:val="29"/>
    <w:qFormat/>
    <w:uiPriority w:val="0"/>
    <w:pPr>
      <w:widowControl/>
      <w:jc w:val="center"/>
    </w:pPr>
    <w:rPr>
      <w:rFonts w:ascii="Times New Roman" w:hAnsi="Times New Roman" w:eastAsia="宋体"/>
      <w:b/>
      <w:color w:val="000000" w:themeColor="text1"/>
      <w:sz w:val="30"/>
      <w:szCs w:val="22"/>
      <w14:textFill>
        <w14:solidFill>
          <w14:schemeClr w14:val="tx1"/>
        </w14:solidFill>
      </w14:textFill>
    </w:rPr>
  </w:style>
  <w:style w:type="paragraph" w:customStyle="1" w:styleId="39">
    <w:name w:val="专栏文字格式"/>
    <w:basedOn w:val="29"/>
    <w:qFormat/>
    <w:uiPriority w:val="0"/>
    <w:pPr>
      <w:widowControl/>
      <w:spacing w:line="480" w:lineRule="exact"/>
      <w:ind w:firstLine="200" w:firstLineChars="200"/>
    </w:pPr>
    <w:rPr>
      <w:rFonts w:ascii="Times New Roman" w:hAnsi="Times New Roman" w:eastAsia="宋体"/>
      <w:color w:val="000000" w:themeColor="text1"/>
      <w:szCs w:val="22"/>
      <w14:textFill>
        <w14:solidFill>
          <w14:schemeClr w14:val="tx1"/>
        </w14:solidFill>
      </w14:textFill>
    </w:rPr>
  </w:style>
  <w:style w:type="table" w:customStyle="1" w:styleId="40">
    <w:name w:val="网格型1"/>
    <w:basedOn w:val="17"/>
    <w:qFormat/>
    <w:uiPriority w:val="99"/>
    <w:rPr>
      <w:rFonts w:eastAsia="Times New Roman"/>
    </w:rPr>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customStyle="1" w:styleId="41">
    <w:name w:val="0609附表正文"/>
    <w:basedOn w:val="1"/>
    <w:qFormat/>
    <w:uiPriority w:val="0"/>
    <w:pPr>
      <w:spacing w:line="240" w:lineRule="auto"/>
      <w:ind w:firstLine="0" w:firstLineChars="0"/>
      <w:jc w:val="center"/>
    </w:pPr>
    <w:rPr>
      <w:rFonts w:ascii="Times New Roman" w:hAnsi="Times New Roman" w:cs="Times New Roman"/>
      <w:sz w:val="21"/>
      <w:szCs w:val="21"/>
    </w:rPr>
  </w:style>
  <w:style w:type="paragraph" w:customStyle="1" w:styleId="42">
    <w:name w:val="章"/>
    <w:basedOn w:val="1"/>
    <w:qFormat/>
    <w:uiPriority w:val="0"/>
    <w:pPr>
      <w:widowControl/>
      <w:numPr>
        <w:ilvl w:val="0"/>
        <w:numId w:val="1"/>
      </w:numPr>
      <w:spacing w:line="640" w:lineRule="exact"/>
      <w:ind w:firstLine="0" w:firstLineChars="0"/>
      <w:jc w:val="center"/>
      <w:outlineLvl w:val="0"/>
    </w:pPr>
    <w:rPr>
      <w:rFonts w:hint="eastAsia" w:ascii="方正小标宋_GBK" w:hAnsi="方正小标宋_GBK" w:eastAsia="方正小标宋简体" w:cs="方正小标宋_GBK"/>
      <w:snapToGrid w:val="0"/>
      <w:color w:val="000000"/>
      <w:spacing w:val="1"/>
      <w:kern w:val="0"/>
      <w:sz w:val="36"/>
      <w:szCs w:val="36"/>
    </w:rPr>
  </w:style>
  <w:style w:type="paragraph" w:customStyle="1" w:styleId="43">
    <w:name w:val="WPSOffice手动目录 1"/>
    <w:qFormat/>
    <w:uiPriority w:val="0"/>
    <w:rPr>
      <w:rFonts w:ascii="Times New Roman" w:hAnsi="Times New Roman" w:eastAsia="宋体" w:cs="Times New Roman"/>
      <w:lang w:val="en-US" w:eastAsia="zh-CN" w:bidi="ar-SA"/>
    </w:rPr>
  </w:style>
  <w:style w:type="paragraph" w:customStyle="1" w:styleId="4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5">
    <w:name w:val="Table Text"/>
    <w:basedOn w:val="1"/>
    <w:semiHidden/>
    <w:qFormat/>
    <w:uiPriority w:val="0"/>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28</Words>
  <Characters>39</Characters>
  <Lines>330</Lines>
  <Paragraphs>93</Paragraphs>
  <TotalTime>36</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2025-01-08T06:11:00Z</dcterms:created>
  <dc:creator>陈 林涛</dc:creator>
  <cp:lastModifiedBy>小道消息</cp:lastModifiedBy>
  <cp:lastPrinted>2025-01-08T14:51:00Z</cp:lastPrinted>
  <dcterms:modified xsi:type="dcterms:W3CDTF">2026-10-08T09:21:02Z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49FCDD1F66CD4FC7B21ECF822E142021_13</vt:lpwstr>
  </property>
  <property fmtid="{D5CDD505-2E9C-101B-9397-08002B2CF9AE}" pid="4" name="KSOTemplateDocerSaveRecord">
    <vt:lpwstr>eyJoZGlkIjoiYjJlOTcxNDE4ZWRiMWEwMDlkM2VhNjdkNjNhMGQxNzIiLCJ1c2VySWQiOiIzODMyNTgxOTkifQ==</vt:lpwstr>
  </property>
</Properties>
</file>