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121F7">
      <w:pPr>
        <w:pageBreakBefore w:val="0"/>
        <w:wordWrap/>
        <w:overflowPunct/>
        <w:topLinePunct w:val="0"/>
        <w:bidi w:val="0"/>
        <w:spacing w:line="600" w:lineRule="exact"/>
        <w:ind w:firstLine="640"/>
        <w:rPr>
          <w:rFonts w:ascii="Times New Roman" w:hAnsi="Times New Roman" w:cs="仿宋_GB2312"/>
          <w:szCs w:val="32"/>
          <w:highlight w:val="none"/>
        </w:rPr>
      </w:pPr>
    </w:p>
    <w:p w14:paraId="186D89F9">
      <w:pPr>
        <w:pageBreakBefore w:val="0"/>
        <w:wordWrap/>
        <w:overflowPunct/>
        <w:topLinePunct w:val="0"/>
        <w:bidi w:val="0"/>
        <w:spacing w:line="600" w:lineRule="exact"/>
        <w:ind w:firstLine="640"/>
        <w:rPr>
          <w:rFonts w:ascii="Times New Roman" w:hAnsi="Times New Roman" w:cs="仿宋_GB2312"/>
          <w:szCs w:val="32"/>
          <w:highlight w:val="none"/>
        </w:rPr>
      </w:pPr>
    </w:p>
    <w:p w14:paraId="7415FDA9">
      <w:pPr>
        <w:pageBreakBefore w:val="0"/>
        <w:wordWrap/>
        <w:overflowPunct/>
        <w:topLinePunct w:val="0"/>
        <w:bidi w:val="0"/>
        <w:spacing w:line="600" w:lineRule="exact"/>
        <w:ind w:firstLine="640"/>
        <w:rPr>
          <w:rFonts w:ascii="Times New Roman" w:hAnsi="Times New Roman" w:cs="仿宋_GB2312"/>
          <w:szCs w:val="32"/>
          <w:highlight w:val="none"/>
        </w:rPr>
      </w:pPr>
    </w:p>
    <w:p w14:paraId="6821418C">
      <w:pPr>
        <w:pageBreakBefore w:val="0"/>
        <w:wordWrap/>
        <w:overflowPunct/>
        <w:topLinePunct w:val="0"/>
        <w:bidi w:val="0"/>
        <w:spacing w:line="600" w:lineRule="exact"/>
        <w:ind w:firstLine="640"/>
        <w:rPr>
          <w:rFonts w:ascii="Times New Roman" w:hAnsi="Times New Roman" w:cs="仿宋_GB2312"/>
          <w:szCs w:val="32"/>
          <w:highlight w:val="none"/>
        </w:rPr>
      </w:pPr>
    </w:p>
    <w:p w14:paraId="7B63049D">
      <w:pPr>
        <w:pageBreakBefore w:val="0"/>
        <w:wordWrap/>
        <w:overflowPunct/>
        <w:topLinePunct w:val="0"/>
        <w:bidi w:val="0"/>
        <w:spacing w:line="600" w:lineRule="exact"/>
        <w:ind w:firstLine="640"/>
        <w:rPr>
          <w:rFonts w:ascii="Times New Roman" w:hAnsi="Times New Roman" w:cs="仿宋_GB2312"/>
          <w:szCs w:val="32"/>
          <w:highlight w:val="none"/>
        </w:rPr>
      </w:pPr>
    </w:p>
    <w:p w14:paraId="6B8EEDFD">
      <w:pPr>
        <w:pageBreakBefore w:val="0"/>
        <w:wordWrap/>
        <w:overflowPunct/>
        <w:topLinePunct w:val="0"/>
        <w:bidi w:val="0"/>
        <w:spacing w:line="600" w:lineRule="exact"/>
        <w:ind w:left="0" w:leftChars="0" w:firstLine="0" w:firstLineChars="0"/>
        <w:jc w:val="center"/>
        <w:outlineLvl w:val="0"/>
        <w:rPr>
          <w:rFonts w:ascii="Times New Roman" w:hAnsi="Times New Roman" w:eastAsia="方正小标宋简体"/>
          <w:sz w:val="44"/>
          <w:szCs w:val="44"/>
          <w:highlight w:val="none"/>
        </w:rPr>
      </w:pPr>
      <w:bookmarkStart w:id="217" w:name="_GoBack"/>
      <w:bookmarkStart w:id="0" w:name="_Toc6677"/>
      <w:bookmarkStart w:id="1" w:name="_Toc23124"/>
      <w:bookmarkStart w:id="2" w:name="_Toc29754"/>
      <w:r>
        <w:rPr>
          <w:rFonts w:hint="eastAsia" w:ascii="Times New Roman" w:hAnsi="Times New Roman" w:eastAsia="方正小标宋简体"/>
          <w:sz w:val="44"/>
          <w:szCs w:val="44"/>
          <w:highlight w:val="none"/>
          <w:lang w:val="en-US" w:eastAsia="zh-CN"/>
        </w:rPr>
        <w:t>靠山乡</w:t>
      </w:r>
      <w:r>
        <w:rPr>
          <w:rFonts w:ascii="Times New Roman" w:hAnsi="Times New Roman" w:eastAsia="方正小标宋简体"/>
          <w:sz w:val="44"/>
          <w:szCs w:val="44"/>
          <w:highlight w:val="none"/>
        </w:rPr>
        <w:t>国土空间总体规划</w:t>
      </w:r>
      <w:bookmarkEnd w:id="0"/>
      <w:bookmarkEnd w:id="1"/>
      <w:bookmarkEnd w:id="2"/>
    </w:p>
    <w:bookmarkEnd w:id="217"/>
    <w:p w14:paraId="3BE8DA48">
      <w:pPr>
        <w:pageBreakBefore w:val="0"/>
        <w:wordWrap/>
        <w:overflowPunct/>
        <w:topLinePunct w:val="0"/>
        <w:bidi w:val="0"/>
        <w:spacing w:line="600" w:lineRule="exact"/>
        <w:ind w:left="0" w:leftChars="0" w:firstLine="0" w:firstLineChars="0"/>
        <w:jc w:val="center"/>
        <w:rPr>
          <w:rFonts w:ascii="Times New Roman" w:hAnsi="Times New Roman" w:eastAsia="方正小标宋简体"/>
          <w:sz w:val="44"/>
          <w:szCs w:val="44"/>
          <w:highlight w:val="none"/>
        </w:rPr>
      </w:pPr>
      <w:r>
        <w:rPr>
          <w:rFonts w:ascii="Times New Roman" w:hAnsi="Times New Roman" w:eastAsia="方正小标宋简体"/>
          <w:sz w:val="44"/>
          <w:szCs w:val="44"/>
          <w:highlight w:val="none"/>
        </w:rPr>
        <w:t>（2021-2035年）</w:t>
      </w:r>
    </w:p>
    <w:p w14:paraId="4FEF7C85">
      <w:pPr>
        <w:pageBreakBefore w:val="0"/>
        <w:wordWrap/>
        <w:overflowPunct/>
        <w:topLinePunct w:val="0"/>
        <w:bidi w:val="0"/>
        <w:spacing w:line="600" w:lineRule="exact"/>
        <w:ind w:left="0" w:leftChars="0" w:firstLine="0" w:firstLineChars="0"/>
        <w:jc w:val="center"/>
        <w:rPr>
          <w:rFonts w:hint="default" w:ascii="Times New Roman" w:hAnsi="Times New Roman" w:eastAsia="方正小标宋简体"/>
          <w:sz w:val="44"/>
          <w:szCs w:val="44"/>
          <w:highlight w:val="none"/>
          <w:lang w:val="en-US" w:eastAsia="zh-CN"/>
        </w:rPr>
      </w:pPr>
    </w:p>
    <w:p w14:paraId="1599B55D">
      <w:pPr>
        <w:pageBreakBefore w:val="0"/>
        <w:wordWrap/>
        <w:overflowPunct/>
        <w:topLinePunct w:val="0"/>
        <w:bidi w:val="0"/>
        <w:spacing w:line="600" w:lineRule="exact"/>
        <w:ind w:firstLine="880"/>
        <w:jc w:val="center"/>
        <w:rPr>
          <w:rFonts w:ascii="Times New Roman" w:hAnsi="Times New Roman" w:eastAsia="方正小标宋简体"/>
          <w:sz w:val="44"/>
          <w:szCs w:val="44"/>
          <w:highlight w:val="none"/>
        </w:rPr>
      </w:pPr>
    </w:p>
    <w:p w14:paraId="46DC78DB">
      <w:pPr>
        <w:pageBreakBefore w:val="0"/>
        <w:wordWrap/>
        <w:overflowPunct/>
        <w:topLinePunct w:val="0"/>
        <w:bidi w:val="0"/>
        <w:spacing w:line="600" w:lineRule="exact"/>
        <w:ind w:firstLine="880"/>
        <w:jc w:val="center"/>
        <w:rPr>
          <w:rFonts w:ascii="Times New Roman" w:hAnsi="Times New Roman" w:eastAsia="方正小标宋简体"/>
          <w:sz w:val="44"/>
          <w:szCs w:val="44"/>
          <w:highlight w:val="none"/>
        </w:rPr>
      </w:pPr>
    </w:p>
    <w:p w14:paraId="705D2B63">
      <w:pPr>
        <w:pageBreakBefore w:val="0"/>
        <w:wordWrap/>
        <w:overflowPunct/>
        <w:topLinePunct w:val="0"/>
        <w:bidi w:val="0"/>
        <w:spacing w:line="600" w:lineRule="exact"/>
        <w:ind w:firstLine="880"/>
        <w:jc w:val="center"/>
        <w:rPr>
          <w:rFonts w:ascii="Times New Roman" w:hAnsi="Times New Roman" w:eastAsia="方正小标宋简体"/>
          <w:sz w:val="44"/>
          <w:szCs w:val="44"/>
          <w:highlight w:val="none"/>
        </w:rPr>
      </w:pPr>
    </w:p>
    <w:p w14:paraId="3791C441">
      <w:pPr>
        <w:pageBreakBefore w:val="0"/>
        <w:wordWrap/>
        <w:overflowPunct/>
        <w:topLinePunct w:val="0"/>
        <w:bidi w:val="0"/>
        <w:spacing w:line="600" w:lineRule="exact"/>
        <w:ind w:firstLine="880"/>
        <w:jc w:val="center"/>
        <w:rPr>
          <w:rFonts w:ascii="Times New Roman" w:hAnsi="Times New Roman" w:eastAsia="方正小标宋简体"/>
          <w:sz w:val="44"/>
          <w:szCs w:val="44"/>
          <w:highlight w:val="none"/>
        </w:rPr>
      </w:pPr>
    </w:p>
    <w:p w14:paraId="6B6EF77B">
      <w:pPr>
        <w:pageBreakBefore w:val="0"/>
        <w:wordWrap/>
        <w:overflowPunct/>
        <w:topLinePunct w:val="0"/>
        <w:bidi w:val="0"/>
        <w:spacing w:line="600" w:lineRule="exact"/>
        <w:ind w:firstLine="880"/>
        <w:jc w:val="center"/>
        <w:rPr>
          <w:rFonts w:ascii="Times New Roman" w:hAnsi="Times New Roman" w:eastAsia="方正小标宋简体"/>
          <w:sz w:val="44"/>
          <w:szCs w:val="44"/>
          <w:highlight w:val="none"/>
        </w:rPr>
      </w:pPr>
    </w:p>
    <w:p w14:paraId="33ABCAEC">
      <w:pPr>
        <w:pageBreakBefore w:val="0"/>
        <w:wordWrap/>
        <w:overflowPunct/>
        <w:topLinePunct w:val="0"/>
        <w:bidi w:val="0"/>
        <w:spacing w:line="600" w:lineRule="exact"/>
        <w:ind w:firstLine="0" w:firstLineChars="0"/>
        <w:jc w:val="center"/>
        <w:rPr>
          <w:rFonts w:ascii="Times New Roman" w:hAnsi="Times New Roman" w:eastAsia="方正小标宋简体"/>
          <w:sz w:val="44"/>
          <w:szCs w:val="44"/>
          <w:highlight w:val="none"/>
        </w:rPr>
      </w:pPr>
    </w:p>
    <w:p w14:paraId="46C1A172">
      <w:pPr>
        <w:pageBreakBefore w:val="0"/>
        <w:wordWrap/>
        <w:overflowPunct/>
        <w:topLinePunct w:val="0"/>
        <w:bidi w:val="0"/>
        <w:spacing w:line="600" w:lineRule="exact"/>
        <w:ind w:firstLine="640"/>
        <w:jc w:val="center"/>
        <w:rPr>
          <w:rFonts w:ascii="Times New Roman" w:hAnsi="Times New Roman" w:eastAsia="方正小标宋简体"/>
          <w:szCs w:val="32"/>
          <w:highlight w:val="none"/>
        </w:rPr>
      </w:pPr>
    </w:p>
    <w:p w14:paraId="5854E68D">
      <w:pPr>
        <w:pageBreakBefore w:val="0"/>
        <w:wordWrap/>
        <w:overflowPunct/>
        <w:topLinePunct w:val="0"/>
        <w:bidi w:val="0"/>
        <w:spacing w:line="600" w:lineRule="exact"/>
        <w:ind w:firstLine="640"/>
        <w:jc w:val="center"/>
        <w:rPr>
          <w:rFonts w:ascii="Times New Roman" w:hAnsi="Times New Roman" w:eastAsia="方正小标宋简体"/>
          <w:szCs w:val="32"/>
          <w:highlight w:val="none"/>
        </w:rPr>
      </w:pPr>
    </w:p>
    <w:p w14:paraId="4DA80970">
      <w:pPr>
        <w:pageBreakBefore w:val="0"/>
        <w:wordWrap/>
        <w:overflowPunct/>
        <w:topLinePunct w:val="0"/>
        <w:bidi w:val="0"/>
        <w:spacing w:line="600" w:lineRule="exact"/>
        <w:ind w:left="0" w:leftChars="0" w:firstLine="0" w:firstLineChars="0"/>
        <w:jc w:val="center"/>
        <w:rPr>
          <w:rFonts w:hint="eastAsia" w:ascii="Times New Roman" w:hAnsi="Times New Roman" w:eastAsia="方正小标宋简体"/>
          <w:szCs w:val="32"/>
          <w:highlight w:val="none"/>
          <w:lang w:val="en-US" w:eastAsia="zh-CN"/>
        </w:rPr>
      </w:pPr>
    </w:p>
    <w:p w14:paraId="3E445F2D">
      <w:pPr>
        <w:pageBreakBefore w:val="0"/>
        <w:wordWrap/>
        <w:overflowPunct/>
        <w:topLinePunct w:val="0"/>
        <w:bidi w:val="0"/>
        <w:spacing w:line="600" w:lineRule="exact"/>
        <w:ind w:left="0" w:leftChars="0" w:firstLine="0" w:firstLineChars="0"/>
        <w:jc w:val="center"/>
        <w:rPr>
          <w:rFonts w:hint="eastAsia" w:ascii="Times New Roman" w:hAnsi="Times New Roman" w:eastAsia="方正小标宋简体"/>
          <w:szCs w:val="32"/>
          <w:highlight w:val="none"/>
          <w:lang w:val="en-US" w:eastAsia="zh-CN"/>
        </w:rPr>
      </w:pPr>
    </w:p>
    <w:p w14:paraId="6C147E9F">
      <w:pPr>
        <w:pageBreakBefore w:val="0"/>
        <w:wordWrap/>
        <w:overflowPunct/>
        <w:topLinePunct w:val="0"/>
        <w:bidi w:val="0"/>
        <w:spacing w:line="600" w:lineRule="exact"/>
        <w:ind w:left="0" w:leftChars="0" w:firstLine="0" w:firstLineChars="0"/>
        <w:jc w:val="center"/>
        <w:rPr>
          <w:rFonts w:ascii="Times New Roman" w:hAnsi="Times New Roman" w:eastAsia="方正小标宋简体"/>
          <w:szCs w:val="32"/>
          <w:highlight w:val="none"/>
        </w:rPr>
      </w:pPr>
      <w:r>
        <w:rPr>
          <w:rFonts w:hint="eastAsia" w:ascii="Times New Roman" w:hAnsi="Times New Roman" w:eastAsia="方正小标宋简体"/>
          <w:szCs w:val="32"/>
          <w:highlight w:val="none"/>
          <w:lang w:val="en-US" w:eastAsia="zh-CN"/>
        </w:rPr>
        <w:t>靠山</w:t>
      </w:r>
      <w:r>
        <w:rPr>
          <w:rFonts w:ascii="Times New Roman" w:hAnsi="Times New Roman" w:eastAsia="方正小标宋简体"/>
          <w:szCs w:val="32"/>
          <w:highlight w:val="none"/>
        </w:rPr>
        <w:t>乡人民政府</w:t>
      </w:r>
    </w:p>
    <w:p w14:paraId="2A1D77C0">
      <w:pPr>
        <w:pageBreakBefore w:val="0"/>
        <w:wordWrap/>
        <w:overflowPunct/>
        <w:topLinePunct w:val="0"/>
        <w:bidi w:val="0"/>
        <w:spacing w:line="600" w:lineRule="exact"/>
        <w:ind w:left="0" w:leftChars="0" w:firstLine="0" w:firstLineChars="0"/>
        <w:jc w:val="center"/>
        <w:rPr>
          <w:rFonts w:ascii="Times New Roman" w:hAnsi="Times New Roman" w:eastAsia="方正小标宋简体"/>
          <w:szCs w:val="32"/>
          <w:highlight w:val="none"/>
        </w:rPr>
      </w:pPr>
      <w:r>
        <w:rPr>
          <w:rFonts w:hint="eastAsia" w:ascii="Times New Roman" w:hAnsi="Times New Roman" w:eastAsia="方正小标宋简体"/>
          <w:szCs w:val="32"/>
          <w:highlight w:val="none"/>
          <w:lang w:val="en-US" w:eastAsia="zh-CN"/>
        </w:rPr>
        <w:t>2025</w:t>
      </w:r>
      <w:r>
        <w:rPr>
          <w:rFonts w:ascii="Times New Roman" w:hAnsi="Times New Roman" w:eastAsia="方正小标宋简体"/>
          <w:szCs w:val="32"/>
          <w:highlight w:val="none"/>
        </w:rPr>
        <w:t>年</w:t>
      </w:r>
      <w:r>
        <w:rPr>
          <w:rFonts w:hint="eastAsia" w:ascii="Times New Roman" w:hAnsi="Times New Roman" w:eastAsia="方正小标宋简体"/>
          <w:szCs w:val="32"/>
          <w:highlight w:val="none"/>
          <w:lang w:val="en-US" w:eastAsia="zh-CN"/>
        </w:rPr>
        <w:t>3</w:t>
      </w:r>
      <w:r>
        <w:rPr>
          <w:rFonts w:ascii="Times New Roman" w:hAnsi="Times New Roman" w:eastAsia="方正小标宋简体"/>
          <w:szCs w:val="32"/>
          <w:highlight w:val="none"/>
        </w:rPr>
        <w:t>月</w:t>
      </w:r>
    </w:p>
    <w:p w14:paraId="15771D2A">
      <w:pPr>
        <w:pageBreakBefore w:val="0"/>
        <w:wordWrap/>
        <w:overflowPunct/>
        <w:topLinePunct w:val="0"/>
        <w:bidi w:val="0"/>
        <w:spacing w:line="600" w:lineRule="exact"/>
        <w:ind w:firstLine="1040"/>
        <w:rPr>
          <w:rFonts w:ascii="Times New Roman" w:hAnsi="Times New Roman" w:eastAsiaTheme="minorEastAsia"/>
          <w:sz w:val="52"/>
          <w:szCs w:val="52"/>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decimalFullWidth" w:start="1"/>
          <w:cols w:space="720" w:num="1"/>
          <w:docGrid w:type="lines" w:linePitch="312" w:charSpace="0"/>
        </w:sectPr>
      </w:pPr>
    </w:p>
    <w:sdt>
      <w:sdtPr>
        <w:rPr>
          <w:rFonts w:ascii="宋体" w:hAnsi="宋体" w:eastAsia="宋体" w:cstheme="minorBidi"/>
          <w:kern w:val="2"/>
          <w:sz w:val="21"/>
          <w:szCs w:val="22"/>
          <w:highlight w:val="none"/>
          <w:lang w:val="en-US" w:eastAsia="zh-CN" w:bidi="ar-SA"/>
        </w:rPr>
        <w:id w:val="147471683"/>
        <w15:color w:val="DBDBDB"/>
        <w:docPartObj>
          <w:docPartGallery w:val="Table of Contents"/>
          <w:docPartUnique/>
        </w:docPartObj>
      </w:sdtPr>
      <w:sdtEndPr>
        <w:rPr>
          <w:rFonts w:ascii="Times New Roman" w:hAnsi="Times New Roman" w:eastAsia="黑体" w:cstheme="minorBidi"/>
          <w:b/>
          <w:bCs/>
          <w:kern w:val="44"/>
          <w:sz w:val="32"/>
          <w:szCs w:val="44"/>
          <w:highlight w:val="none"/>
          <w:lang w:val="en-US" w:eastAsia="zh-CN" w:bidi="ar-SA"/>
        </w:rPr>
      </w:sdtEndPr>
      <w:sdtContent>
        <w:p w14:paraId="331AE080">
          <w:pPr>
            <w:pageBreakBefore w:val="0"/>
            <w:wordWrap/>
            <w:overflowPunct/>
            <w:topLinePunct w:val="0"/>
            <w:bidi w:val="0"/>
            <w:spacing w:after="156" w:afterLines="50" w:line="600" w:lineRule="exact"/>
            <w:ind w:firstLine="880"/>
            <w:rPr>
              <w:rFonts w:ascii="Times New Roman" w:hAnsi="Times New Roman" w:eastAsia="黑体" w:cstheme="minorBidi"/>
              <w:b/>
              <w:bCs/>
              <w:kern w:val="44"/>
              <w:sz w:val="32"/>
              <w:szCs w:val="44"/>
              <w:highlight w:val="none"/>
              <w:lang w:val="en-US" w:eastAsia="zh-CN" w:bidi="ar-SA"/>
            </w:rPr>
          </w:pPr>
          <w:r>
            <w:rPr>
              <w:rFonts w:ascii="宋体" w:hAnsi="宋体" w:eastAsia="宋体"/>
              <w:sz w:val="30"/>
              <w:szCs w:val="30"/>
              <w:highlight w:val="none"/>
            </w:rPr>
            <w:t>目录</w:t>
          </w:r>
          <w:r>
            <w:rPr>
              <w:rFonts w:ascii="Times New Roman" w:hAnsi="Times New Roman" w:eastAsia="黑体" w:cstheme="minorBidi"/>
              <w:b/>
              <w:bCs/>
              <w:kern w:val="44"/>
              <w:sz w:val="32"/>
              <w:szCs w:val="44"/>
              <w:highlight w:val="none"/>
              <w:lang w:val="en-US" w:eastAsia="zh-CN" w:bidi="ar-SA"/>
            </w:rPr>
            <w:fldChar w:fldCharType="begin"/>
          </w:r>
          <w:r>
            <w:rPr>
              <w:rFonts w:ascii="Times New Roman" w:hAnsi="Times New Roman" w:eastAsia="黑体" w:cstheme="minorBidi"/>
              <w:b/>
              <w:bCs/>
              <w:kern w:val="44"/>
              <w:sz w:val="32"/>
              <w:szCs w:val="44"/>
              <w:highlight w:val="none"/>
              <w:lang w:val="en-US" w:eastAsia="zh-CN" w:bidi="ar-SA"/>
            </w:rPr>
            <w:instrText xml:space="preserve">TOC \o "1-2" \h \u </w:instrText>
          </w:r>
          <w:r>
            <w:rPr>
              <w:rFonts w:ascii="Times New Roman" w:hAnsi="Times New Roman" w:eastAsia="黑体" w:cstheme="minorBidi"/>
              <w:b/>
              <w:bCs/>
              <w:kern w:val="44"/>
              <w:sz w:val="32"/>
              <w:szCs w:val="44"/>
              <w:highlight w:val="none"/>
              <w:lang w:val="en-US" w:eastAsia="zh-CN" w:bidi="ar-SA"/>
            </w:rPr>
            <w:fldChar w:fldCharType="separate"/>
          </w:r>
        </w:p>
        <w:p w14:paraId="30B5346A">
          <w:pPr>
            <w:pStyle w:val="24"/>
            <w:tabs>
              <w:tab w:val="right" w:leader="dot" w:pos="8306"/>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_Toc23124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方正小标宋简体"/>
              <w:szCs w:val="44"/>
              <w:highlight w:val="none"/>
              <w:lang w:val="en-US" w:eastAsia="zh-CN"/>
            </w:rPr>
            <w:t>靠山乡</w:t>
          </w:r>
          <w:r>
            <w:rPr>
              <w:rFonts w:ascii="Times New Roman" w:hAnsi="Times New Roman" w:eastAsia="方正小标宋简体"/>
              <w:szCs w:val="44"/>
              <w:highlight w:val="none"/>
            </w:rPr>
            <w:t>国土空间总体规划</w:t>
          </w:r>
          <w:r>
            <w:tab/>
          </w:r>
          <w:r>
            <w:fldChar w:fldCharType="begin"/>
          </w:r>
          <w:r>
            <w:instrText xml:space="preserve"> PAGEREF _Toc23124 \h </w:instrText>
          </w:r>
          <w:r>
            <w:fldChar w:fldCharType="separate"/>
          </w:r>
          <w:r>
            <w:t>１</w:t>
          </w:r>
          <w:r>
            <w:fldChar w:fldCharType="end"/>
          </w:r>
          <w:r>
            <w:rPr>
              <w:rFonts w:ascii="Times New Roman" w:hAnsi="Times New Roman" w:eastAsia="黑体" w:cstheme="minorBidi"/>
              <w:bCs/>
              <w:kern w:val="44"/>
              <w:szCs w:val="44"/>
              <w:highlight w:val="none"/>
              <w:lang w:val="en-US" w:eastAsia="zh-CN" w:bidi="ar-SA"/>
            </w:rPr>
            <w:fldChar w:fldCharType="end"/>
          </w:r>
        </w:p>
        <w:p w14:paraId="261110B4">
          <w:pPr>
            <w:pStyle w:val="24"/>
            <w:tabs>
              <w:tab w:val="right" w:leader="dot" w:pos="8306"/>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_Toc11236 </w:instrText>
          </w:r>
          <w:r>
            <w:rPr>
              <w:rFonts w:ascii="Times New Roman" w:hAnsi="Times New Roman" w:eastAsia="黑体" w:cstheme="minorBidi"/>
              <w:bCs/>
              <w:kern w:val="44"/>
              <w:szCs w:val="44"/>
              <w:highlight w:val="none"/>
              <w:lang w:val="en-US" w:eastAsia="zh-CN" w:bidi="ar-SA"/>
            </w:rPr>
            <w:fldChar w:fldCharType="separate"/>
          </w:r>
          <w:r>
            <w:rPr>
              <w:rFonts w:hint="eastAsia" w:ascii="方正小标宋简体" w:hAnsi="方正小标宋简体" w:eastAsia="方正小标宋简体" w:cs="方正小标宋简体"/>
              <w:bCs w:val="0"/>
              <w:szCs w:val="36"/>
              <w:lang w:eastAsia="zh-CN"/>
            </w:rPr>
            <w:t xml:space="preserve">第一章 </w:t>
          </w:r>
          <w:r>
            <w:rPr>
              <w:rFonts w:hint="eastAsia" w:ascii="Times New Roman" w:hAnsi="Times New Roman" w:eastAsia="方正小标宋简体" w:cs="方正小标宋简体"/>
              <w:bCs w:val="0"/>
              <w:szCs w:val="36"/>
              <w:highlight w:val="none"/>
              <w:lang w:eastAsia="zh-CN"/>
            </w:rPr>
            <w:t>总则</w:t>
          </w:r>
          <w:r>
            <w:tab/>
          </w:r>
          <w:r>
            <w:fldChar w:fldCharType="begin"/>
          </w:r>
          <w:r>
            <w:instrText xml:space="preserve"> PAGEREF _Toc11236 \h </w:instrText>
          </w:r>
          <w:r>
            <w:fldChar w:fldCharType="separate"/>
          </w:r>
          <w:r>
            <w:t>3</w:t>
          </w:r>
          <w:r>
            <w:fldChar w:fldCharType="end"/>
          </w:r>
          <w:r>
            <w:rPr>
              <w:rFonts w:ascii="Times New Roman" w:hAnsi="Times New Roman" w:eastAsia="黑体" w:cstheme="minorBidi"/>
              <w:bCs/>
              <w:kern w:val="44"/>
              <w:szCs w:val="44"/>
              <w:highlight w:val="none"/>
              <w:lang w:val="en-US" w:eastAsia="zh-CN" w:bidi="ar-SA"/>
            </w:rPr>
            <w:fldChar w:fldCharType="end"/>
          </w:r>
        </w:p>
        <w:p w14:paraId="7FA895A2">
          <w:pPr>
            <w:pStyle w:val="24"/>
            <w:tabs>
              <w:tab w:val="right" w:leader="dot" w:pos="8306"/>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_Toc13637 </w:instrText>
          </w:r>
          <w:r>
            <w:rPr>
              <w:rFonts w:ascii="Times New Roman" w:hAnsi="Times New Roman" w:eastAsia="黑体" w:cstheme="minorBidi"/>
              <w:bCs/>
              <w:kern w:val="44"/>
              <w:szCs w:val="44"/>
              <w:highlight w:val="none"/>
              <w:lang w:val="en-US" w:eastAsia="zh-CN" w:bidi="ar-SA"/>
            </w:rPr>
            <w:fldChar w:fldCharType="separate"/>
          </w:r>
          <w:r>
            <w:rPr>
              <w:rFonts w:hint="eastAsia" w:ascii="方正小标宋简体" w:hAnsi="方正小标宋简体" w:eastAsia="方正小标宋简体" w:cs="方正小标宋简体"/>
              <w:bCs w:val="0"/>
              <w:szCs w:val="36"/>
              <w:lang w:eastAsia="zh-CN"/>
            </w:rPr>
            <w:t xml:space="preserve">第二章 </w:t>
          </w:r>
          <w:r>
            <w:rPr>
              <w:rFonts w:hint="eastAsia" w:ascii="Times New Roman" w:hAnsi="Times New Roman" w:eastAsia="方正小标宋简体" w:cs="方正小标宋简体"/>
              <w:bCs w:val="0"/>
              <w:szCs w:val="36"/>
              <w:highlight w:val="none"/>
              <w:lang w:val="en-US" w:eastAsia="zh-CN"/>
            </w:rPr>
            <w:t>规划</w:t>
          </w:r>
          <w:r>
            <w:rPr>
              <w:rFonts w:hint="eastAsia" w:ascii="Times New Roman" w:hAnsi="Times New Roman" w:eastAsia="方正小标宋简体" w:cs="方正小标宋简体"/>
              <w:bCs w:val="0"/>
              <w:szCs w:val="36"/>
              <w:highlight w:val="none"/>
              <w:lang w:eastAsia="zh-CN"/>
            </w:rPr>
            <w:t>基础</w:t>
          </w:r>
          <w:r>
            <w:tab/>
          </w:r>
          <w:r>
            <w:fldChar w:fldCharType="begin"/>
          </w:r>
          <w:r>
            <w:instrText xml:space="preserve"> PAGEREF _Toc13637 \h </w:instrText>
          </w:r>
          <w:r>
            <w:fldChar w:fldCharType="separate"/>
          </w:r>
          <w:r>
            <w:t>6</w:t>
          </w:r>
          <w:r>
            <w:fldChar w:fldCharType="end"/>
          </w:r>
          <w:r>
            <w:rPr>
              <w:rFonts w:ascii="Times New Roman" w:hAnsi="Times New Roman" w:eastAsia="黑体" w:cstheme="minorBidi"/>
              <w:bCs/>
              <w:kern w:val="44"/>
              <w:szCs w:val="44"/>
              <w:highlight w:val="none"/>
              <w:lang w:val="en-US" w:eastAsia="zh-CN" w:bidi="ar-SA"/>
            </w:rPr>
            <w:fldChar w:fldCharType="end"/>
          </w:r>
        </w:p>
        <w:p w14:paraId="2C322CB6">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_Toc32212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第一节 </w:t>
          </w:r>
          <w:r>
            <w:rPr>
              <w:rFonts w:hint="eastAsia" w:ascii="Times New Roman" w:hAnsi="Times New Roman"/>
              <w:highlight w:val="none"/>
              <w:lang w:val="en-US" w:eastAsia="zh-CN"/>
            </w:rPr>
            <w:t>现状特征与主要问题</w:t>
          </w:r>
          <w:r>
            <w:tab/>
          </w:r>
          <w:r>
            <w:fldChar w:fldCharType="begin"/>
          </w:r>
          <w:r>
            <w:instrText xml:space="preserve"> PAGEREF _Toc32212 \h </w:instrText>
          </w:r>
          <w:r>
            <w:fldChar w:fldCharType="separate"/>
          </w:r>
          <w:r>
            <w:t>6</w:t>
          </w:r>
          <w:r>
            <w:fldChar w:fldCharType="end"/>
          </w:r>
          <w:r>
            <w:rPr>
              <w:rFonts w:ascii="Times New Roman" w:hAnsi="Times New Roman" w:eastAsia="黑体" w:cstheme="minorBidi"/>
              <w:bCs/>
              <w:kern w:val="44"/>
              <w:szCs w:val="44"/>
              <w:highlight w:val="none"/>
              <w:lang w:val="en-US" w:eastAsia="zh-CN" w:bidi="ar-SA"/>
            </w:rPr>
            <w:fldChar w:fldCharType="end"/>
          </w:r>
        </w:p>
        <w:p w14:paraId="29EB6519">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_Toc24245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第二节 </w:t>
          </w:r>
          <w:r>
            <w:rPr>
              <w:rFonts w:hint="eastAsia" w:ascii="Times New Roman" w:hAnsi="Times New Roman"/>
              <w:highlight w:val="none"/>
              <w:lang w:val="en-US" w:eastAsia="zh-CN"/>
            </w:rPr>
            <w:t>机遇与挑战</w:t>
          </w:r>
          <w:r>
            <w:tab/>
          </w:r>
          <w:r>
            <w:fldChar w:fldCharType="begin"/>
          </w:r>
          <w:r>
            <w:instrText xml:space="preserve"> PAGEREF _Toc24245 \h </w:instrText>
          </w:r>
          <w:r>
            <w:fldChar w:fldCharType="separate"/>
          </w:r>
          <w:r>
            <w:t>8</w:t>
          </w:r>
          <w:r>
            <w:fldChar w:fldCharType="end"/>
          </w:r>
          <w:r>
            <w:rPr>
              <w:rFonts w:ascii="Times New Roman" w:hAnsi="Times New Roman" w:eastAsia="黑体" w:cstheme="minorBidi"/>
              <w:bCs/>
              <w:kern w:val="44"/>
              <w:szCs w:val="44"/>
              <w:highlight w:val="none"/>
              <w:lang w:val="en-US" w:eastAsia="zh-CN" w:bidi="ar-SA"/>
            </w:rPr>
            <w:fldChar w:fldCharType="end"/>
          </w:r>
        </w:p>
        <w:p w14:paraId="5B7AE859">
          <w:pPr>
            <w:pStyle w:val="24"/>
            <w:tabs>
              <w:tab w:val="right" w:leader="dot" w:pos="8306"/>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_Toc28243 </w:instrText>
          </w:r>
          <w:r>
            <w:rPr>
              <w:rFonts w:ascii="Times New Roman" w:hAnsi="Times New Roman" w:eastAsia="黑体" w:cstheme="minorBidi"/>
              <w:bCs/>
              <w:kern w:val="44"/>
              <w:szCs w:val="44"/>
              <w:highlight w:val="none"/>
              <w:lang w:val="en-US" w:eastAsia="zh-CN" w:bidi="ar-SA"/>
            </w:rPr>
            <w:fldChar w:fldCharType="separate"/>
          </w:r>
          <w:r>
            <w:rPr>
              <w:rFonts w:hint="eastAsia" w:ascii="方正小标宋简体" w:hAnsi="方正小标宋简体" w:eastAsia="方正小标宋简体" w:cs="方正小标宋简体"/>
              <w:bCs w:val="0"/>
              <w:szCs w:val="36"/>
              <w:lang w:eastAsia="zh-CN"/>
            </w:rPr>
            <w:t xml:space="preserve">第三章 </w:t>
          </w:r>
          <w:r>
            <w:rPr>
              <w:rFonts w:hint="eastAsia" w:ascii="Times New Roman" w:hAnsi="Times New Roman" w:eastAsia="方正小标宋简体" w:cs="方正小标宋简体"/>
              <w:bCs w:val="0"/>
              <w:szCs w:val="36"/>
              <w:highlight w:val="none"/>
              <w:lang w:eastAsia="zh-CN"/>
            </w:rPr>
            <w:t>目标</w:t>
          </w:r>
          <w:r>
            <w:rPr>
              <w:rFonts w:hint="eastAsia" w:ascii="Times New Roman" w:hAnsi="Times New Roman" w:eastAsia="方正小标宋简体" w:cs="方正小标宋简体"/>
              <w:bCs w:val="0"/>
              <w:szCs w:val="36"/>
              <w:highlight w:val="none"/>
              <w:lang w:val="en-US" w:eastAsia="zh-CN"/>
            </w:rPr>
            <w:t>定位</w:t>
          </w:r>
          <w:r>
            <w:rPr>
              <w:rFonts w:hint="eastAsia" w:ascii="Times New Roman" w:hAnsi="Times New Roman" w:eastAsia="方正小标宋简体" w:cs="方正小标宋简体"/>
              <w:bCs w:val="0"/>
              <w:szCs w:val="36"/>
              <w:highlight w:val="none"/>
              <w:lang w:eastAsia="zh-CN"/>
            </w:rPr>
            <w:t>与空间战略</w:t>
          </w:r>
          <w:r>
            <w:tab/>
          </w:r>
          <w:r>
            <w:fldChar w:fldCharType="begin"/>
          </w:r>
          <w:r>
            <w:instrText xml:space="preserve"> PAGEREF _Toc28243 \h </w:instrText>
          </w:r>
          <w:r>
            <w:fldChar w:fldCharType="separate"/>
          </w:r>
          <w:r>
            <w:t>10</w:t>
          </w:r>
          <w:r>
            <w:fldChar w:fldCharType="end"/>
          </w:r>
          <w:r>
            <w:rPr>
              <w:rFonts w:ascii="Times New Roman" w:hAnsi="Times New Roman" w:eastAsia="黑体" w:cstheme="minorBidi"/>
              <w:bCs/>
              <w:kern w:val="44"/>
              <w:szCs w:val="44"/>
              <w:highlight w:val="none"/>
              <w:lang w:val="en-US" w:eastAsia="zh-CN" w:bidi="ar-SA"/>
            </w:rPr>
            <w:fldChar w:fldCharType="end"/>
          </w:r>
        </w:p>
        <w:p w14:paraId="625F8F99">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_Toc17128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第一节 </w:t>
          </w:r>
          <w:r>
            <w:rPr>
              <w:rFonts w:hint="eastAsia" w:ascii="Times New Roman" w:hAnsi="Times New Roman"/>
              <w:highlight w:val="none"/>
              <w:lang w:val="en-US" w:eastAsia="zh-CN"/>
            </w:rPr>
            <w:t>规划定位</w:t>
          </w:r>
          <w:r>
            <w:tab/>
          </w:r>
          <w:r>
            <w:fldChar w:fldCharType="begin"/>
          </w:r>
          <w:r>
            <w:instrText xml:space="preserve"> PAGEREF _Toc17128 \h </w:instrText>
          </w:r>
          <w:r>
            <w:fldChar w:fldCharType="separate"/>
          </w:r>
          <w:r>
            <w:t>10</w:t>
          </w:r>
          <w:r>
            <w:fldChar w:fldCharType="end"/>
          </w:r>
          <w:r>
            <w:rPr>
              <w:rFonts w:ascii="Times New Roman" w:hAnsi="Times New Roman" w:eastAsia="黑体" w:cstheme="minorBidi"/>
              <w:bCs/>
              <w:kern w:val="44"/>
              <w:szCs w:val="44"/>
              <w:highlight w:val="none"/>
              <w:lang w:val="en-US" w:eastAsia="zh-CN" w:bidi="ar-SA"/>
            </w:rPr>
            <w:fldChar w:fldCharType="end"/>
          </w:r>
        </w:p>
        <w:p w14:paraId="25016E64">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_Toc11343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第二节 </w:t>
          </w:r>
          <w:r>
            <w:rPr>
              <w:rFonts w:hint="eastAsia" w:ascii="Times New Roman" w:hAnsi="Times New Roman"/>
              <w:highlight w:val="none"/>
              <w:lang w:val="en-US" w:eastAsia="zh-CN"/>
            </w:rPr>
            <w:t>空间发展策略</w:t>
          </w:r>
          <w:r>
            <w:tab/>
          </w:r>
          <w:r>
            <w:fldChar w:fldCharType="begin"/>
          </w:r>
          <w:r>
            <w:instrText xml:space="preserve"> PAGEREF _Toc11343 \h </w:instrText>
          </w:r>
          <w:r>
            <w:fldChar w:fldCharType="separate"/>
          </w:r>
          <w:r>
            <w:t>12</w:t>
          </w:r>
          <w:r>
            <w:fldChar w:fldCharType="end"/>
          </w:r>
          <w:r>
            <w:rPr>
              <w:rFonts w:ascii="Times New Roman" w:hAnsi="Times New Roman" w:eastAsia="黑体" w:cstheme="minorBidi"/>
              <w:bCs/>
              <w:kern w:val="44"/>
              <w:szCs w:val="44"/>
              <w:highlight w:val="none"/>
              <w:lang w:val="en-US" w:eastAsia="zh-CN" w:bidi="ar-SA"/>
            </w:rPr>
            <w:fldChar w:fldCharType="end"/>
          </w:r>
        </w:p>
        <w:p w14:paraId="0734FCD8">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_Toc9813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第三节 </w:t>
          </w:r>
          <w:r>
            <w:rPr>
              <w:rFonts w:hint="eastAsia" w:ascii="Times New Roman" w:hAnsi="Times New Roman"/>
              <w:highlight w:val="none"/>
              <w:lang w:val="en-US" w:eastAsia="zh-CN"/>
            </w:rPr>
            <w:t>指标体系与上位规划落实</w:t>
          </w:r>
          <w:r>
            <w:tab/>
          </w:r>
          <w:r>
            <w:fldChar w:fldCharType="begin"/>
          </w:r>
          <w:r>
            <w:instrText xml:space="preserve"> PAGEREF _Toc9813 \h </w:instrText>
          </w:r>
          <w:r>
            <w:fldChar w:fldCharType="separate"/>
          </w:r>
          <w:r>
            <w:t>13</w:t>
          </w:r>
          <w:r>
            <w:fldChar w:fldCharType="end"/>
          </w:r>
          <w:r>
            <w:rPr>
              <w:rFonts w:ascii="Times New Roman" w:hAnsi="Times New Roman" w:eastAsia="黑体" w:cstheme="minorBidi"/>
              <w:bCs/>
              <w:kern w:val="44"/>
              <w:szCs w:val="44"/>
              <w:highlight w:val="none"/>
              <w:lang w:val="en-US" w:eastAsia="zh-CN" w:bidi="ar-SA"/>
            </w:rPr>
            <w:fldChar w:fldCharType="end"/>
          </w:r>
        </w:p>
        <w:p w14:paraId="682C7F01">
          <w:pPr>
            <w:pStyle w:val="24"/>
            <w:tabs>
              <w:tab w:val="right" w:leader="dot" w:pos="8306"/>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_Toc4740 </w:instrText>
          </w:r>
          <w:r>
            <w:rPr>
              <w:rFonts w:ascii="Times New Roman" w:hAnsi="Times New Roman" w:eastAsia="黑体" w:cstheme="minorBidi"/>
              <w:bCs/>
              <w:kern w:val="44"/>
              <w:szCs w:val="44"/>
              <w:highlight w:val="none"/>
              <w:lang w:val="en-US" w:eastAsia="zh-CN" w:bidi="ar-SA"/>
            </w:rPr>
            <w:fldChar w:fldCharType="separate"/>
          </w:r>
          <w:r>
            <w:rPr>
              <w:rFonts w:hint="eastAsia" w:ascii="方正小标宋简体" w:hAnsi="方正小标宋简体" w:eastAsia="方正小标宋简体" w:cs="方正小标宋简体"/>
              <w:bCs w:val="0"/>
              <w:szCs w:val="36"/>
              <w:lang w:val="en-US" w:eastAsia="zh-CN"/>
            </w:rPr>
            <w:t xml:space="preserve">第四章 </w:t>
          </w:r>
          <w:r>
            <w:rPr>
              <w:rFonts w:hint="eastAsia" w:ascii="Times New Roman" w:hAnsi="Times New Roman" w:eastAsia="方正小标宋简体" w:cs="方正小标宋简体"/>
              <w:bCs w:val="0"/>
              <w:szCs w:val="36"/>
              <w:highlight w:val="none"/>
              <w:lang w:val="en-US" w:eastAsia="zh-CN"/>
            </w:rPr>
            <w:t>国土空间开发保护格局</w:t>
          </w:r>
          <w:r>
            <w:tab/>
          </w:r>
          <w:r>
            <w:fldChar w:fldCharType="begin"/>
          </w:r>
          <w:r>
            <w:instrText xml:space="preserve"> PAGEREF _Toc4740 \h </w:instrText>
          </w:r>
          <w:r>
            <w:fldChar w:fldCharType="separate"/>
          </w:r>
          <w:r>
            <w:t>14</w:t>
          </w:r>
          <w:r>
            <w:fldChar w:fldCharType="end"/>
          </w:r>
          <w:r>
            <w:rPr>
              <w:rFonts w:ascii="Times New Roman" w:hAnsi="Times New Roman" w:eastAsia="黑体" w:cstheme="minorBidi"/>
              <w:bCs/>
              <w:kern w:val="44"/>
              <w:szCs w:val="44"/>
              <w:highlight w:val="none"/>
              <w:lang w:val="en-US" w:eastAsia="zh-CN" w:bidi="ar-SA"/>
            </w:rPr>
            <w:fldChar w:fldCharType="end"/>
          </w:r>
        </w:p>
        <w:p w14:paraId="77DBA211">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_Toc2148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第一节 </w:t>
          </w:r>
          <w:r>
            <w:rPr>
              <w:rFonts w:hint="eastAsia" w:ascii="Times New Roman" w:hAnsi="Times New Roman"/>
              <w:highlight w:val="none"/>
              <w:lang w:val="en-US" w:eastAsia="zh-CN"/>
            </w:rPr>
            <w:t>落实三条控制线</w:t>
          </w:r>
          <w:r>
            <w:tab/>
          </w:r>
          <w:r>
            <w:fldChar w:fldCharType="begin"/>
          </w:r>
          <w:r>
            <w:instrText xml:space="preserve"> PAGEREF _Toc2148 \h </w:instrText>
          </w:r>
          <w:r>
            <w:fldChar w:fldCharType="separate"/>
          </w:r>
          <w:r>
            <w:t>14</w:t>
          </w:r>
          <w:r>
            <w:fldChar w:fldCharType="end"/>
          </w:r>
          <w:r>
            <w:rPr>
              <w:rFonts w:ascii="Times New Roman" w:hAnsi="Times New Roman" w:eastAsia="黑体" w:cstheme="minorBidi"/>
              <w:bCs/>
              <w:kern w:val="44"/>
              <w:szCs w:val="44"/>
              <w:highlight w:val="none"/>
              <w:lang w:val="en-US" w:eastAsia="zh-CN" w:bidi="ar-SA"/>
            </w:rPr>
            <w:fldChar w:fldCharType="end"/>
          </w:r>
        </w:p>
        <w:p w14:paraId="2ECE7EC8">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_Toc23531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第二节 </w:t>
          </w:r>
          <w:r>
            <w:rPr>
              <w:rFonts w:hint="eastAsia" w:ascii="Times New Roman" w:hAnsi="Times New Roman"/>
              <w:highlight w:val="none"/>
              <w:lang w:val="en-US" w:eastAsia="zh-CN"/>
            </w:rPr>
            <w:t>区域协调发展</w:t>
          </w:r>
          <w:r>
            <w:tab/>
          </w:r>
          <w:r>
            <w:fldChar w:fldCharType="begin"/>
          </w:r>
          <w:r>
            <w:instrText xml:space="preserve"> PAGEREF _Toc23531 \h </w:instrText>
          </w:r>
          <w:r>
            <w:fldChar w:fldCharType="separate"/>
          </w:r>
          <w:r>
            <w:t>17</w:t>
          </w:r>
          <w:r>
            <w:fldChar w:fldCharType="end"/>
          </w:r>
          <w:r>
            <w:rPr>
              <w:rFonts w:ascii="Times New Roman" w:hAnsi="Times New Roman" w:eastAsia="黑体" w:cstheme="minorBidi"/>
              <w:bCs/>
              <w:kern w:val="44"/>
              <w:szCs w:val="44"/>
              <w:highlight w:val="none"/>
              <w:lang w:val="en-US" w:eastAsia="zh-CN" w:bidi="ar-SA"/>
            </w:rPr>
            <w:fldChar w:fldCharType="end"/>
          </w:r>
        </w:p>
        <w:p w14:paraId="669CC564">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_Toc21655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第三节 </w:t>
          </w:r>
          <w:r>
            <w:rPr>
              <w:rFonts w:hint="eastAsia" w:ascii="Times New Roman" w:hAnsi="Times New Roman"/>
              <w:highlight w:val="none"/>
              <w:lang w:val="en-US" w:eastAsia="zh-CN"/>
            </w:rPr>
            <w:t>总体空间格局</w:t>
          </w:r>
          <w:r>
            <w:tab/>
          </w:r>
          <w:r>
            <w:fldChar w:fldCharType="begin"/>
          </w:r>
          <w:r>
            <w:instrText xml:space="preserve"> PAGEREF _Toc21655 \h </w:instrText>
          </w:r>
          <w:r>
            <w:fldChar w:fldCharType="separate"/>
          </w:r>
          <w:r>
            <w:t>18</w:t>
          </w:r>
          <w:r>
            <w:fldChar w:fldCharType="end"/>
          </w:r>
          <w:r>
            <w:rPr>
              <w:rFonts w:ascii="Times New Roman" w:hAnsi="Times New Roman" w:eastAsia="黑体" w:cstheme="minorBidi"/>
              <w:bCs/>
              <w:kern w:val="44"/>
              <w:szCs w:val="44"/>
              <w:highlight w:val="none"/>
              <w:lang w:val="en-US" w:eastAsia="zh-CN" w:bidi="ar-SA"/>
            </w:rPr>
            <w:fldChar w:fldCharType="end"/>
          </w:r>
        </w:p>
        <w:p w14:paraId="40296D21">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_Toc6335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第四节 </w:t>
          </w:r>
          <w:r>
            <w:rPr>
              <w:rFonts w:hint="eastAsia" w:ascii="Times New Roman" w:hAnsi="Times New Roman"/>
              <w:highlight w:val="none"/>
              <w:lang w:val="en-US" w:eastAsia="zh-CN"/>
            </w:rPr>
            <w:t>规划分区</w:t>
          </w:r>
          <w:r>
            <w:tab/>
          </w:r>
          <w:r>
            <w:fldChar w:fldCharType="begin"/>
          </w:r>
          <w:r>
            <w:instrText xml:space="preserve"> PAGEREF _Toc6335 \h </w:instrText>
          </w:r>
          <w:r>
            <w:fldChar w:fldCharType="separate"/>
          </w:r>
          <w:r>
            <w:t>19</w:t>
          </w:r>
          <w:r>
            <w:fldChar w:fldCharType="end"/>
          </w:r>
          <w:r>
            <w:rPr>
              <w:rFonts w:ascii="Times New Roman" w:hAnsi="Times New Roman" w:eastAsia="黑体" w:cstheme="minorBidi"/>
              <w:bCs/>
              <w:kern w:val="44"/>
              <w:szCs w:val="44"/>
              <w:highlight w:val="none"/>
              <w:lang w:val="en-US" w:eastAsia="zh-CN" w:bidi="ar-SA"/>
            </w:rPr>
            <w:fldChar w:fldCharType="end"/>
          </w:r>
        </w:p>
        <w:p w14:paraId="40BCBF73">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_Toc27122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第五节 </w:t>
          </w:r>
          <w:r>
            <w:rPr>
              <w:rFonts w:hint="eastAsia" w:ascii="Times New Roman" w:hAnsi="Times New Roman"/>
              <w:highlight w:val="none"/>
              <w:lang w:val="en-US" w:eastAsia="zh-CN"/>
            </w:rPr>
            <w:t>用地用途和结构调整</w:t>
          </w:r>
          <w:r>
            <w:tab/>
          </w:r>
          <w:r>
            <w:fldChar w:fldCharType="begin"/>
          </w:r>
          <w:r>
            <w:instrText xml:space="preserve"> PAGEREF _Toc27122 \h </w:instrText>
          </w:r>
          <w:r>
            <w:fldChar w:fldCharType="separate"/>
          </w:r>
          <w:r>
            <w:t>19</w:t>
          </w:r>
          <w:r>
            <w:fldChar w:fldCharType="end"/>
          </w:r>
          <w:r>
            <w:rPr>
              <w:rFonts w:ascii="Times New Roman" w:hAnsi="Times New Roman" w:eastAsia="黑体" w:cstheme="minorBidi"/>
              <w:bCs/>
              <w:kern w:val="44"/>
              <w:szCs w:val="44"/>
              <w:highlight w:val="none"/>
              <w:lang w:val="en-US" w:eastAsia="zh-CN" w:bidi="ar-SA"/>
            </w:rPr>
            <w:fldChar w:fldCharType="end"/>
          </w:r>
        </w:p>
        <w:p w14:paraId="5D1EA833">
          <w:pPr>
            <w:pStyle w:val="24"/>
            <w:tabs>
              <w:tab w:val="right" w:leader="dot" w:pos="8306"/>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_Toc25798 </w:instrText>
          </w:r>
          <w:r>
            <w:rPr>
              <w:rFonts w:ascii="Times New Roman" w:hAnsi="Times New Roman" w:eastAsia="黑体" w:cstheme="minorBidi"/>
              <w:bCs/>
              <w:kern w:val="44"/>
              <w:szCs w:val="44"/>
              <w:highlight w:val="none"/>
              <w:lang w:val="en-US" w:eastAsia="zh-CN" w:bidi="ar-SA"/>
            </w:rPr>
            <w:fldChar w:fldCharType="separate"/>
          </w:r>
          <w:r>
            <w:rPr>
              <w:rFonts w:hint="eastAsia" w:ascii="方正小标宋简体" w:hAnsi="方正小标宋简体" w:eastAsia="方正小标宋简体" w:cs="方正小标宋简体"/>
              <w:bCs w:val="0"/>
              <w:szCs w:val="36"/>
              <w:lang w:val="en-US" w:eastAsia="zh-CN"/>
            </w:rPr>
            <w:t xml:space="preserve">第五章 </w:t>
          </w:r>
          <w:r>
            <w:rPr>
              <w:rFonts w:hint="eastAsia" w:ascii="Times New Roman" w:hAnsi="Times New Roman" w:eastAsia="方正小标宋简体" w:cs="方正小标宋简体"/>
              <w:bCs w:val="0"/>
              <w:szCs w:val="36"/>
              <w:highlight w:val="none"/>
              <w:lang w:val="en-US" w:eastAsia="zh-CN"/>
            </w:rPr>
            <w:t>空间布局优化</w:t>
          </w:r>
          <w:r>
            <w:tab/>
          </w:r>
          <w:r>
            <w:fldChar w:fldCharType="begin"/>
          </w:r>
          <w:r>
            <w:instrText xml:space="preserve"> PAGEREF _Toc25798 \h </w:instrText>
          </w:r>
          <w:r>
            <w:fldChar w:fldCharType="separate"/>
          </w:r>
          <w:r>
            <w:t>20</w:t>
          </w:r>
          <w:r>
            <w:fldChar w:fldCharType="end"/>
          </w:r>
          <w:r>
            <w:rPr>
              <w:rFonts w:ascii="Times New Roman" w:hAnsi="Times New Roman" w:eastAsia="黑体" w:cstheme="minorBidi"/>
              <w:bCs/>
              <w:kern w:val="44"/>
              <w:szCs w:val="44"/>
              <w:highlight w:val="none"/>
              <w:lang w:val="en-US" w:eastAsia="zh-CN" w:bidi="ar-SA"/>
            </w:rPr>
            <w:fldChar w:fldCharType="end"/>
          </w:r>
        </w:p>
        <w:p w14:paraId="2EE4EC4B">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_Toc4782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第一节 </w:t>
          </w:r>
          <w:r>
            <w:rPr>
              <w:rFonts w:hint="eastAsia" w:ascii="Times New Roman" w:hAnsi="Times New Roman"/>
              <w:highlight w:val="none"/>
              <w:lang w:val="en-US" w:eastAsia="zh-CN"/>
            </w:rPr>
            <w:t>农业生产空间</w:t>
          </w:r>
          <w:r>
            <w:tab/>
          </w:r>
          <w:r>
            <w:fldChar w:fldCharType="begin"/>
          </w:r>
          <w:r>
            <w:instrText xml:space="preserve"> PAGEREF _Toc4782 \h </w:instrText>
          </w:r>
          <w:r>
            <w:fldChar w:fldCharType="separate"/>
          </w:r>
          <w:r>
            <w:t>20</w:t>
          </w:r>
          <w:r>
            <w:fldChar w:fldCharType="end"/>
          </w:r>
          <w:r>
            <w:rPr>
              <w:rFonts w:ascii="Times New Roman" w:hAnsi="Times New Roman" w:eastAsia="黑体" w:cstheme="minorBidi"/>
              <w:bCs/>
              <w:kern w:val="44"/>
              <w:szCs w:val="44"/>
              <w:highlight w:val="none"/>
              <w:lang w:val="en-US" w:eastAsia="zh-CN" w:bidi="ar-SA"/>
            </w:rPr>
            <w:fldChar w:fldCharType="end"/>
          </w:r>
        </w:p>
        <w:p w14:paraId="04005D7C">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_Toc12474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第二节 </w:t>
          </w:r>
          <w:r>
            <w:rPr>
              <w:rFonts w:hint="eastAsia" w:ascii="Times New Roman" w:hAnsi="Times New Roman"/>
              <w:highlight w:val="none"/>
              <w:lang w:val="en-US" w:eastAsia="zh-CN"/>
            </w:rPr>
            <w:t>生态功能空间</w:t>
          </w:r>
          <w:r>
            <w:tab/>
          </w:r>
          <w:r>
            <w:fldChar w:fldCharType="begin"/>
          </w:r>
          <w:r>
            <w:instrText xml:space="preserve"> PAGEREF _Toc12474 \h </w:instrText>
          </w:r>
          <w:r>
            <w:fldChar w:fldCharType="separate"/>
          </w:r>
          <w:r>
            <w:t>23</w:t>
          </w:r>
          <w:r>
            <w:fldChar w:fldCharType="end"/>
          </w:r>
          <w:r>
            <w:rPr>
              <w:rFonts w:ascii="Times New Roman" w:hAnsi="Times New Roman" w:eastAsia="黑体" w:cstheme="minorBidi"/>
              <w:bCs/>
              <w:kern w:val="44"/>
              <w:szCs w:val="44"/>
              <w:highlight w:val="none"/>
              <w:lang w:val="en-US" w:eastAsia="zh-CN" w:bidi="ar-SA"/>
            </w:rPr>
            <w:fldChar w:fldCharType="end"/>
          </w:r>
        </w:p>
        <w:p w14:paraId="07E6C62A">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_Toc5755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第三节 </w:t>
          </w:r>
          <w:r>
            <w:rPr>
              <w:rFonts w:hint="eastAsia" w:ascii="Times New Roman" w:hAnsi="Times New Roman"/>
              <w:highlight w:val="none"/>
              <w:lang w:val="en-US" w:eastAsia="zh-CN"/>
            </w:rPr>
            <w:t>城乡建设空间</w:t>
          </w:r>
          <w:r>
            <w:tab/>
          </w:r>
          <w:r>
            <w:fldChar w:fldCharType="begin"/>
          </w:r>
          <w:r>
            <w:instrText xml:space="preserve"> PAGEREF _Toc5755 \h </w:instrText>
          </w:r>
          <w:r>
            <w:fldChar w:fldCharType="separate"/>
          </w:r>
          <w:r>
            <w:t>26</w:t>
          </w:r>
          <w:r>
            <w:fldChar w:fldCharType="end"/>
          </w:r>
          <w:r>
            <w:rPr>
              <w:rFonts w:ascii="Times New Roman" w:hAnsi="Times New Roman" w:eastAsia="黑体" w:cstheme="minorBidi"/>
              <w:bCs/>
              <w:kern w:val="44"/>
              <w:szCs w:val="44"/>
              <w:highlight w:val="none"/>
              <w:lang w:val="en-US" w:eastAsia="zh-CN" w:bidi="ar-SA"/>
            </w:rPr>
            <w:fldChar w:fldCharType="end"/>
          </w:r>
        </w:p>
        <w:p w14:paraId="6438DC48">
          <w:pPr>
            <w:pStyle w:val="24"/>
            <w:tabs>
              <w:tab w:val="right" w:leader="dot" w:pos="8306"/>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_Toc16380 </w:instrText>
          </w:r>
          <w:r>
            <w:rPr>
              <w:rFonts w:ascii="Times New Roman" w:hAnsi="Times New Roman" w:eastAsia="黑体" w:cstheme="minorBidi"/>
              <w:bCs/>
              <w:kern w:val="44"/>
              <w:szCs w:val="44"/>
              <w:highlight w:val="none"/>
              <w:lang w:val="en-US" w:eastAsia="zh-CN" w:bidi="ar-SA"/>
            </w:rPr>
            <w:fldChar w:fldCharType="separate"/>
          </w:r>
          <w:r>
            <w:rPr>
              <w:rFonts w:hint="eastAsia" w:ascii="方正小标宋简体" w:hAnsi="方正小标宋简体" w:eastAsia="方正小标宋简体" w:cs="方正小标宋简体"/>
              <w:bCs w:val="0"/>
              <w:szCs w:val="36"/>
              <w:lang w:val="en-US" w:eastAsia="zh-CN"/>
            </w:rPr>
            <w:t xml:space="preserve">第六章 </w:t>
          </w:r>
          <w:r>
            <w:rPr>
              <w:rFonts w:hint="eastAsia" w:ascii="Times New Roman" w:hAnsi="Times New Roman" w:eastAsia="方正小标宋简体" w:cs="方正小标宋简体"/>
              <w:bCs w:val="0"/>
              <w:szCs w:val="36"/>
              <w:highlight w:val="none"/>
              <w:lang w:val="en-US" w:eastAsia="zh-CN"/>
            </w:rPr>
            <w:t>靠山乡政府驻地规划</w:t>
          </w:r>
          <w:r>
            <w:tab/>
          </w:r>
          <w:r>
            <w:fldChar w:fldCharType="begin"/>
          </w:r>
          <w:r>
            <w:instrText xml:space="preserve"> PAGEREF _Toc16380 \h </w:instrText>
          </w:r>
          <w:r>
            <w:fldChar w:fldCharType="separate"/>
          </w:r>
          <w:r>
            <w:t>29</w:t>
          </w:r>
          <w:r>
            <w:fldChar w:fldCharType="end"/>
          </w:r>
          <w:r>
            <w:rPr>
              <w:rFonts w:ascii="Times New Roman" w:hAnsi="Times New Roman" w:eastAsia="黑体" w:cstheme="minorBidi"/>
              <w:bCs/>
              <w:kern w:val="44"/>
              <w:szCs w:val="44"/>
              <w:highlight w:val="none"/>
              <w:lang w:val="en-US" w:eastAsia="zh-CN" w:bidi="ar-SA"/>
            </w:rPr>
            <w:fldChar w:fldCharType="end"/>
          </w:r>
        </w:p>
        <w:p w14:paraId="351016AB">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_Toc9180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第一节 </w:t>
          </w:r>
          <w:r>
            <w:rPr>
              <w:rFonts w:hint="eastAsia" w:ascii="Times New Roman" w:hAnsi="Times New Roman"/>
              <w:highlight w:val="none"/>
              <w:lang w:val="en-US" w:eastAsia="zh-CN"/>
            </w:rPr>
            <w:t>发展方向与规模</w:t>
          </w:r>
          <w:r>
            <w:tab/>
          </w:r>
          <w:r>
            <w:fldChar w:fldCharType="begin"/>
          </w:r>
          <w:r>
            <w:instrText xml:space="preserve"> PAGEREF _Toc9180 \h </w:instrText>
          </w:r>
          <w:r>
            <w:fldChar w:fldCharType="separate"/>
          </w:r>
          <w:r>
            <w:t>29</w:t>
          </w:r>
          <w:r>
            <w:fldChar w:fldCharType="end"/>
          </w:r>
          <w:r>
            <w:rPr>
              <w:rFonts w:ascii="Times New Roman" w:hAnsi="Times New Roman" w:eastAsia="黑体" w:cstheme="minorBidi"/>
              <w:bCs/>
              <w:kern w:val="44"/>
              <w:szCs w:val="44"/>
              <w:highlight w:val="none"/>
              <w:lang w:val="en-US" w:eastAsia="zh-CN" w:bidi="ar-SA"/>
            </w:rPr>
            <w:fldChar w:fldCharType="end"/>
          </w:r>
        </w:p>
        <w:p w14:paraId="78969500">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_Toc17668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第二节 </w:t>
          </w:r>
          <w:r>
            <w:rPr>
              <w:rFonts w:hint="eastAsia" w:ascii="Times New Roman" w:hAnsi="Times New Roman"/>
              <w:highlight w:val="none"/>
              <w:lang w:val="en-US" w:eastAsia="zh-CN"/>
            </w:rPr>
            <w:t>功能结构与布局</w:t>
          </w:r>
          <w:r>
            <w:tab/>
          </w:r>
          <w:r>
            <w:fldChar w:fldCharType="begin"/>
          </w:r>
          <w:r>
            <w:instrText xml:space="preserve"> PAGEREF _Toc17668 \h </w:instrText>
          </w:r>
          <w:r>
            <w:fldChar w:fldCharType="separate"/>
          </w:r>
          <w:r>
            <w:t>29</w:t>
          </w:r>
          <w:r>
            <w:fldChar w:fldCharType="end"/>
          </w:r>
          <w:r>
            <w:rPr>
              <w:rFonts w:ascii="Times New Roman" w:hAnsi="Times New Roman" w:eastAsia="黑体" w:cstheme="minorBidi"/>
              <w:bCs/>
              <w:kern w:val="44"/>
              <w:szCs w:val="44"/>
              <w:highlight w:val="none"/>
              <w:lang w:val="en-US" w:eastAsia="zh-CN" w:bidi="ar-SA"/>
            </w:rPr>
            <w:fldChar w:fldCharType="end"/>
          </w:r>
        </w:p>
        <w:p w14:paraId="2580067B">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_Toc29030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第三节 </w:t>
          </w:r>
          <w:r>
            <w:rPr>
              <w:rFonts w:hint="eastAsia" w:ascii="Times New Roman" w:hAnsi="Times New Roman"/>
              <w:highlight w:val="none"/>
              <w:lang w:val="en-US" w:eastAsia="zh-CN"/>
            </w:rPr>
            <w:t>绿地与开敞空间</w:t>
          </w:r>
          <w:r>
            <w:tab/>
          </w:r>
          <w:r>
            <w:fldChar w:fldCharType="begin"/>
          </w:r>
          <w:r>
            <w:instrText xml:space="preserve"> PAGEREF _Toc29030 \h </w:instrText>
          </w:r>
          <w:r>
            <w:fldChar w:fldCharType="separate"/>
          </w:r>
          <w:r>
            <w:t>30</w:t>
          </w:r>
          <w:r>
            <w:fldChar w:fldCharType="end"/>
          </w:r>
          <w:r>
            <w:rPr>
              <w:rFonts w:ascii="Times New Roman" w:hAnsi="Times New Roman" w:eastAsia="黑体" w:cstheme="minorBidi"/>
              <w:bCs/>
              <w:kern w:val="44"/>
              <w:szCs w:val="44"/>
              <w:highlight w:val="none"/>
              <w:lang w:val="en-US" w:eastAsia="zh-CN" w:bidi="ar-SA"/>
            </w:rPr>
            <w:fldChar w:fldCharType="end"/>
          </w:r>
        </w:p>
        <w:p w14:paraId="69FAAAB1">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_Toc6694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第四节 </w:t>
          </w:r>
          <w:r>
            <w:rPr>
              <w:rFonts w:hint="eastAsia" w:ascii="Times New Roman" w:hAnsi="Times New Roman"/>
              <w:highlight w:val="none"/>
              <w:lang w:val="en-US" w:eastAsia="zh-CN"/>
            </w:rPr>
            <w:t>道路与交通设施</w:t>
          </w:r>
          <w:r>
            <w:tab/>
          </w:r>
          <w:r>
            <w:fldChar w:fldCharType="begin"/>
          </w:r>
          <w:r>
            <w:instrText xml:space="preserve"> PAGEREF _Toc6694 \h </w:instrText>
          </w:r>
          <w:r>
            <w:fldChar w:fldCharType="separate"/>
          </w:r>
          <w:r>
            <w:t>31</w:t>
          </w:r>
          <w:r>
            <w:fldChar w:fldCharType="end"/>
          </w:r>
          <w:r>
            <w:rPr>
              <w:rFonts w:ascii="Times New Roman" w:hAnsi="Times New Roman" w:eastAsia="黑体" w:cstheme="minorBidi"/>
              <w:bCs/>
              <w:kern w:val="44"/>
              <w:szCs w:val="44"/>
              <w:highlight w:val="none"/>
              <w:lang w:val="en-US" w:eastAsia="zh-CN" w:bidi="ar-SA"/>
            </w:rPr>
            <w:fldChar w:fldCharType="end"/>
          </w:r>
        </w:p>
        <w:p w14:paraId="409DA4A1">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_Toc15843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第五节 </w:t>
          </w:r>
          <w:r>
            <w:rPr>
              <w:rFonts w:hint="eastAsia" w:ascii="Times New Roman" w:hAnsi="Times New Roman"/>
              <w:highlight w:val="none"/>
              <w:lang w:val="en-US" w:eastAsia="zh-CN"/>
            </w:rPr>
            <w:t>风貌管控</w:t>
          </w:r>
          <w:r>
            <w:tab/>
          </w:r>
          <w:r>
            <w:fldChar w:fldCharType="begin"/>
          </w:r>
          <w:r>
            <w:instrText xml:space="preserve"> PAGEREF _Toc15843 \h </w:instrText>
          </w:r>
          <w:r>
            <w:fldChar w:fldCharType="separate"/>
          </w:r>
          <w:r>
            <w:t>32</w:t>
          </w:r>
          <w:r>
            <w:fldChar w:fldCharType="end"/>
          </w:r>
          <w:r>
            <w:rPr>
              <w:rFonts w:ascii="Times New Roman" w:hAnsi="Times New Roman" w:eastAsia="黑体" w:cstheme="minorBidi"/>
              <w:bCs/>
              <w:kern w:val="44"/>
              <w:szCs w:val="44"/>
              <w:highlight w:val="none"/>
              <w:lang w:val="en-US" w:eastAsia="zh-CN" w:bidi="ar-SA"/>
            </w:rPr>
            <w:fldChar w:fldCharType="end"/>
          </w:r>
        </w:p>
        <w:p w14:paraId="3E4D74C2">
          <w:pPr>
            <w:pStyle w:val="24"/>
            <w:tabs>
              <w:tab w:val="right" w:leader="dot" w:pos="8306"/>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_Toc16802 </w:instrText>
          </w:r>
          <w:r>
            <w:rPr>
              <w:rFonts w:ascii="Times New Roman" w:hAnsi="Times New Roman" w:eastAsia="黑体" w:cstheme="minorBidi"/>
              <w:bCs/>
              <w:kern w:val="44"/>
              <w:szCs w:val="44"/>
              <w:highlight w:val="none"/>
              <w:lang w:val="en-US" w:eastAsia="zh-CN" w:bidi="ar-SA"/>
            </w:rPr>
            <w:fldChar w:fldCharType="separate"/>
          </w:r>
          <w:r>
            <w:rPr>
              <w:rFonts w:hint="eastAsia" w:ascii="方正小标宋简体" w:hAnsi="方正小标宋简体" w:eastAsia="方正小标宋简体" w:cs="方正小标宋简体"/>
              <w:bCs w:val="0"/>
              <w:szCs w:val="36"/>
              <w:lang w:eastAsia="zh-CN"/>
            </w:rPr>
            <w:t xml:space="preserve">第七章 </w:t>
          </w:r>
          <w:r>
            <w:rPr>
              <w:rFonts w:hint="eastAsia" w:ascii="Times New Roman" w:hAnsi="Times New Roman" w:eastAsia="方正小标宋简体" w:cs="方正小标宋简体"/>
              <w:bCs w:val="0"/>
              <w:szCs w:val="36"/>
              <w:highlight w:val="none"/>
              <w:lang w:eastAsia="zh-CN"/>
            </w:rPr>
            <w:t>支撑保障体系</w:t>
          </w:r>
          <w:r>
            <w:tab/>
          </w:r>
          <w:r>
            <w:fldChar w:fldCharType="begin"/>
          </w:r>
          <w:r>
            <w:instrText xml:space="preserve"> PAGEREF _Toc16802 \h </w:instrText>
          </w:r>
          <w:r>
            <w:fldChar w:fldCharType="separate"/>
          </w:r>
          <w:r>
            <w:t>33</w:t>
          </w:r>
          <w:r>
            <w:fldChar w:fldCharType="end"/>
          </w:r>
          <w:r>
            <w:rPr>
              <w:rFonts w:ascii="Times New Roman" w:hAnsi="Times New Roman" w:eastAsia="黑体" w:cstheme="minorBidi"/>
              <w:bCs/>
              <w:kern w:val="44"/>
              <w:szCs w:val="44"/>
              <w:highlight w:val="none"/>
              <w:lang w:val="en-US" w:eastAsia="zh-CN" w:bidi="ar-SA"/>
            </w:rPr>
            <w:fldChar w:fldCharType="end"/>
          </w:r>
        </w:p>
        <w:p w14:paraId="6F6FCA40">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_Toc20142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第一节 </w:t>
          </w:r>
          <w:r>
            <w:rPr>
              <w:rFonts w:hint="eastAsia" w:ascii="Times New Roman" w:hAnsi="Times New Roman"/>
              <w:highlight w:val="none"/>
              <w:lang w:val="en-US" w:eastAsia="zh-CN"/>
            </w:rPr>
            <w:t>综合交通体系</w:t>
          </w:r>
          <w:r>
            <w:tab/>
          </w:r>
          <w:r>
            <w:fldChar w:fldCharType="begin"/>
          </w:r>
          <w:r>
            <w:instrText xml:space="preserve"> PAGEREF _Toc20142 \h </w:instrText>
          </w:r>
          <w:r>
            <w:fldChar w:fldCharType="separate"/>
          </w:r>
          <w:r>
            <w:t>33</w:t>
          </w:r>
          <w:r>
            <w:fldChar w:fldCharType="end"/>
          </w:r>
          <w:r>
            <w:rPr>
              <w:rFonts w:ascii="Times New Roman" w:hAnsi="Times New Roman" w:eastAsia="黑体" w:cstheme="minorBidi"/>
              <w:bCs/>
              <w:kern w:val="44"/>
              <w:szCs w:val="44"/>
              <w:highlight w:val="none"/>
              <w:lang w:val="en-US" w:eastAsia="zh-CN" w:bidi="ar-SA"/>
            </w:rPr>
            <w:fldChar w:fldCharType="end"/>
          </w:r>
        </w:p>
        <w:p w14:paraId="2E38E4E1">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_Toc28448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第二节 </w:t>
          </w:r>
          <w:r>
            <w:rPr>
              <w:rFonts w:hint="eastAsia" w:ascii="Times New Roman" w:hAnsi="Times New Roman"/>
              <w:highlight w:val="none"/>
              <w:lang w:val="en-US" w:eastAsia="zh-CN"/>
            </w:rPr>
            <w:t>公共服务设施体系</w:t>
          </w:r>
          <w:r>
            <w:tab/>
          </w:r>
          <w:r>
            <w:fldChar w:fldCharType="begin"/>
          </w:r>
          <w:r>
            <w:instrText xml:space="preserve"> PAGEREF _Toc28448 \h </w:instrText>
          </w:r>
          <w:r>
            <w:fldChar w:fldCharType="separate"/>
          </w:r>
          <w:r>
            <w:t>33</w:t>
          </w:r>
          <w:r>
            <w:fldChar w:fldCharType="end"/>
          </w:r>
          <w:r>
            <w:rPr>
              <w:rFonts w:ascii="Times New Roman" w:hAnsi="Times New Roman" w:eastAsia="黑体" w:cstheme="minorBidi"/>
              <w:bCs/>
              <w:kern w:val="44"/>
              <w:szCs w:val="44"/>
              <w:highlight w:val="none"/>
              <w:lang w:val="en-US" w:eastAsia="zh-CN" w:bidi="ar-SA"/>
            </w:rPr>
            <w:fldChar w:fldCharType="end"/>
          </w:r>
        </w:p>
        <w:p w14:paraId="4092B3B4">
          <w:pPr>
            <w:pStyle w:val="24"/>
            <w:tabs>
              <w:tab w:val="right" w:leader="dot" w:pos="8306"/>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_Toc17853 </w:instrText>
          </w:r>
          <w:r>
            <w:rPr>
              <w:rFonts w:ascii="Times New Roman" w:hAnsi="Times New Roman" w:eastAsia="黑体" w:cstheme="minorBidi"/>
              <w:bCs/>
              <w:kern w:val="44"/>
              <w:szCs w:val="44"/>
              <w:highlight w:val="none"/>
              <w:lang w:val="en-US" w:eastAsia="zh-CN" w:bidi="ar-SA"/>
            </w:rPr>
            <w:fldChar w:fldCharType="separate"/>
          </w:r>
          <w:r>
            <w:rPr>
              <w:rFonts w:hint="eastAsia" w:ascii="方正小标宋简体" w:hAnsi="方正小标宋简体" w:eastAsia="方正小标宋简体" w:cs="方正小标宋简体"/>
              <w:bCs w:val="0"/>
              <w:szCs w:val="36"/>
              <w:lang w:val="en-US" w:eastAsia="zh-CN"/>
            </w:rPr>
            <w:t xml:space="preserve">第八章 </w:t>
          </w:r>
          <w:r>
            <w:rPr>
              <w:rFonts w:hint="eastAsia" w:ascii="Times New Roman" w:hAnsi="Times New Roman" w:eastAsia="方正小标宋简体" w:cs="方正小标宋简体"/>
              <w:bCs w:val="0"/>
              <w:szCs w:val="36"/>
              <w:highlight w:val="none"/>
              <w:lang w:val="en-US" w:eastAsia="zh-CN"/>
            </w:rPr>
            <w:t>规划传导与实施</w:t>
          </w:r>
          <w:r>
            <w:tab/>
          </w:r>
          <w:r>
            <w:fldChar w:fldCharType="begin"/>
          </w:r>
          <w:r>
            <w:instrText xml:space="preserve"> PAGEREF _Toc17853 \h </w:instrText>
          </w:r>
          <w:r>
            <w:fldChar w:fldCharType="separate"/>
          </w:r>
          <w:r>
            <w:t>35</w:t>
          </w:r>
          <w:r>
            <w:fldChar w:fldCharType="end"/>
          </w:r>
          <w:r>
            <w:rPr>
              <w:rFonts w:ascii="Times New Roman" w:hAnsi="Times New Roman" w:eastAsia="黑体" w:cstheme="minorBidi"/>
              <w:bCs/>
              <w:kern w:val="44"/>
              <w:szCs w:val="44"/>
              <w:highlight w:val="none"/>
              <w:lang w:val="en-US" w:eastAsia="zh-CN" w:bidi="ar-SA"/>
            </w:rPr>
            <w:fldChar w:fldCharType="end"/>
          </w:r>
        </w:p>
        <w:p w14:paraId="49894A5D">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_Toc11771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第一节 </w:t>
          </w:r>
          <w:r>
            <w:rPr>
              <w:rFonts w:hint="eastAsia" w:ascii="Times New Roman" w:hAnsi="Times New Roman"/>
              <w:highlight w:val="none"/>
              <w:lang w:val="en-US" w:eastAsia="zh-CN"/>
            </w:rPr>
            <w:t>规划传导与管控</w:t>
          </w:r>
          <w:r>
            <w:tab/>
          </w:r>
          <w:r>
            <w:fldChar w:fldCharType="begin"/>
          </w:r>
          <w:r>
            <w:instrText xml:space="preserve"> PAGEREF _Toc11771 \h </w:instrText>
          </w:r>
          <w:r>
            <w:fldChar w:fldCharType="separate"/>
          </w:r>
          <w:r>
            <w:t>35</w:t>
          </w:r>
          <w:r>
            <w:fldChar w:fldCharType="end"/>
          </w:r>
          <w:r>
            <w:rPr>
              <w:rFonts w:ascii="Times New Roman" w:hAnsi="Times New Roman" w:eastAsia="黑体" w:cstheme="minorBidi"/>
              <w:bCs/>
              <w:kern w:val="44"/>
              <w:szCs w:val="44"/>
              <w:highlight w:val="none"/>
              <w:lang w:val="en-US" w:eastAsia="zh-CN" w:bidi="ar-SA"/>
            </w:rPr>
            <w:fldChar w:fldCharType="end"/>
          </w:r>
        </w:p>
        <w:p w14:paraId="7BCF303C">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_Toc13623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第二节 </w:t>
          </w:r>
          <w:r>
            <w:rPr>
              <w:rFonts w:hint="eastAsia" w:ascii="Times New Roman" w:hAnsi="Times New Roman"/>
              <w:highlight w:val="none"/>
              <w:lang w:val="en-US" w:eastAsia="zh-CN"/>
            </w:rPr>
            <w:t>规划实施</w:t>
          </w:r>
          <w:r>
            <w:tab/>
          </w:r>
          <w:r>
            <w:fldChar w:fldCharType="begin"/>
          </w:r>
          <w:r>
            <w:instrText xml:space="preserve"> PAGEREF _Toc13623 \h </w:instrText>
          </w:r>
          <w:r>
            <w:fldChar w:fldCharType="separate"/>
          </w:r>
          <w:r>
            <w:t>35</w:t>
          </w:r>
          <w:r>
            <w:fldChar w:fldCharType="end"/>
          </w:r>
          <w:r>
            <w:rPr>
              <w:rFonts w:ascii="Times New Roman" w:hAnsi="Times New Roman" w:eastAsia="黑体" w:cstheme="minorBidi"/>
              <w:bCs/>
              <w:kern w:val="44"/>
              <w:szCs w:val="44"/>
              <w:highlight w:val="none"/>
              <w:lang w:val="en-US" w:eastAsia="zh-CN" w:bidi="ar-SA"/>
            </w:rPr>
            <w:fldChar w:fldCharType="end"/>
          </w:r>
        </w:p>
        <w:p w14:paraId="5D7893BD">
          <w:pPr>
            <w:pStyle w:val="28"/>
            <w:tabs>
              <w:tab w:val="right" w:leader="dot" w:pos="8306"/>
              <w:tab w:val="clear" w:pos="1260"/>
              <w:tab w:val="clear" w:pos="8296"/>
            </w:tabs>
          </w:pPr>
          <w:r>
            <w:rPr>
              <w:rFonts w:ascii="Times New Roman" w:hAnsi="Times New Roman" w:eastAsia="黑体" w:cstheme="minorBidi"/>
              <w:bCs/>
              <w:kern w:val="44"/>
              <w:szCs w:val="44"/>
              <w:highlight w:val="none"/>
              <w:lang w:val="en-US" w:eastAsia="zh-CN" w:bidi="ar-SA"/>
            </w:rPr>
            <w:fldChar w:fldCharType="begin"/>
          </w:r>
          <w:r>
            <w:rPr>
              <w:rFonts w:ascii="Times New Roman" w:hAnsi="Times New Roman" w:eastAsia="黑体" w:cstheme="minorBidi"/>
              <w:bCs/>
              <w:kern w:val="44"/>
              <w:szCs w:val="44"/>
              <w:highlight w:val="none"/>
              <w:lang w:val="en-US" w:eastAsia="zh-CN" w:bidi="ar-SA"/>
            </w:rPr>
            <w:instrText xml:space="preserve"> HYPERLINK \l _Toc4880 </w:instrText>
          </w:r>
          <w:r>
            <w:rPr>
              <w:rFonts w:ascii="Times New Roman" w:hAnsi="Times New Roman" w:eastAsia="黑体" w:cstheme="minorBidi"/>
              <w:bCs/>
              <w:kern w:val="44"/>
              <w:szCs w:val="44"/>
              <w:highlight w:val="none"/>
              <w:lang w:val="en-US" w:eastAsia="zh-CN" w:bidi="ar-SA"/>
            </w:rPr>
            <w:fldChar w:fldCharType="separate"/>
          </w:r>
          <w:r>
            <w:rPr>
              <w:rFonts w:hint="eastAsia" w:ascii="Times New Roman" w:hAnsi="Times New Roman" w:eastAsia="黑体"/>
              <w:lang w:val="en-US" w:eastAsia="zh-CN"/>
            </w:rPr>
            <w:t xml:space="preserve">第三节 </w:t>
          </w:r>
          <w:r>
            <w:rPr>
              <w:rFonts w:hint="eastAsia" w:ascii="Times New Roman" w:hAnsi="Times New Roman"/>
              <w:highlight w:val="none"/>
              <w:lang w:val="en-US" w:eastAsia="zh-CN"/>
            </w:rPr>
            <w:t>实施保障</w:t>
          </w:r>
          <w:r>
            <w:tab/>
          </w:r>
          <w:r>
            <w:fldChar w:fldCharType="begin"/>
          </w:r>
          <w:r>
            <w:instrText xml:space="preserve"> PAGEREF _Toc4880 \h </w:instrText>
          </w:r>
          <w:r>
            <w:fldChar w:fldCharType="separate"/>
          </w:r>
          <w:r>
            <w:t>36</w:t>
          </w:r>
          <w:r>
            <w:fldChar w:fldCharType="end"/>
          </w:r>
          <w:r>
            <w:rPr>
              <w:rFonts w:ascii="Times New Roman" w:hAnsi="Times New Roman" w:eastAsia="黑体" w:cstheme="minorBidi"/>
              <w:bCs/>
              <w:kern w:val="44"/>
              <w:szCs w:val="44"/>
              <w:highlight w:val="none"/>
              <w:lang w:val="en-US" w:eastAsia="zh-CN" w:bidi="ar-SA"/>
            </w:rPr>
            <w:fldChar w:fldCharType="end"/>
          </w:r>
        </w:p>
        <w:p w14:paraId="657942B4">
          <w:pPr>
            <w:pageBreakBefore w:val="0"/>
            <w:wordWrap/>
            <w:overflowPunct/>
            <w:topLinePunct w:val="0"/>
            <w:bidi w:val="0"/>
            <w:spacing w:before="0" w:beforeLines="0" w:after="0" w:afterLines="0" w:line="240" w:lineRule="auto"/>
            <w:ind w:left="0" w:leftChars="0" w:right="0" w:rightChars="0" w:firstLine="0" w:firstLineChars="0"/>
            <w:jc w:val="center"/>
            <w:rPr>
              <w:rFonts w:ascii="Times New Roman" w:hAnsi="Times New Roman" w:eastAsia="黑体" w:cstheme="minorBidi"/>
              <w:b/>
              <w:bCs/>
              <w:kern w:val="44"/>
              <w:sz w:val="32"/>
              <w:szCs w:val="44"/>
              <w:highlight w:val="none"/>
              <w:lang w:val="en-US" w:eastAsia="zh-CN" w:bidi="ar-SA"/>
            </w:rPr>
          </w:pPr>
          <w:r>
            <w:rPr>
              <w:rFonts w:ascii="Times New Roman" w:hAnsi="Times New Roman" w:eastAsia="黑体" w:cstheme="minorBidi"/>
              <w:b/>
              <w:bCs/>
              <w:kern w:val="44"/>
              <w:szCs w:val="44"/>
              <w:highlight w:val="none"/>
              <w:lang w:val="en-US" w:eastAsia="zh-CN" w:bidi="ar-SA"/>
            </w:rPr>
            <w:fldChar w:fldCharType="end"/>
          </w:r>
        </w:p>
      </w:sdtContent>
    </w:sdt>
    <w:p w14:paraId="4ADB3F3E">
      <w:pPr>
        <w:pageBreakBefore w:val="0"/>
        <w:wordWrap/>
        <w:overflowPunct/>
        <w:topLinePunct w:val="0"/>
        <w:bidi w:val="0"/>
        <w:spacing w:after="156" w:afterLines="50" w:line="600" w:lineRule="exact"/>
        <w:ind w:firstLine="880"/>
        <w:rPr>
          <w:rFonts w:ascii="Times New Roman" w:hAnsi="Times New Roman" w:eastAsia="黑体" w:cstheme="minorBidi"/>
          <w:b/>
          <w:bCs/>
          <w:kern w:val="44"/>
          <w:sz w:val="32"/>
          <w:szCs w:val="44"/>
          <w:highlight w:val="none"/>
          <w:lang w:val="en-US" w:eastAsia="zh-CN" w:bidi="ar-SA"/>
        </w:rPr>
        <w:sectPr>
          <w:headerReference r:id="rId12" w:type="first"/>
          <w:footerReference r:id="rId14" w:type="first"/>
          <w:headerReference r:id="rId11" w:type="default"/>
          <w:footerReference r:id="rId13" w:type="default"/>
          <w:pgSz w:w="11906" w:h="16838"/>
          <w:pgMar w:top="1440" w:right="1800" w:bottom="1440" w:left="1800" w:header="851" w:footer="992" w:gutter="0"/>
          <w:pgNumType w:fmt="decimalFullWidth" w:start="1"/>
          <w:cols w:space="720" w:num="1"/>
          <w:titlePg/>
          <w:docGrid w:type="lines" w:linePitch="312" w:charSpace="0"/>
        </w:sectPr>
      </w:pPr>
    </w:p>
    <w:p w14:paraId="4AA0D431">
      <w:pPr>
        <w:pStyle w:val="3"/>
        <w:keepNext/>
        <w:keepLines/>
        <w:pageBreakBefore w:val="0"/>
        <w:widowControl w:val="0"/>
        <w:numPr>
          <w:ilvl w:val="0"/>
          <w:numId w:val="5"/>
        </w:numPr>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简体" w:cs="方正小标宋简体"/>
          <w:b w:val="0"/>
          <w:bCs w:val="0"/>
          <w:sz w:val="36"/>
          <w:szCs w:val="36"/>
          <w:highlight w:val="none"/>
          <w:lang w:eastAsia="zh-CN"/>
        </w:rPr>
      </w:pPr>
      <w:bookmarkStart w:id="3" w:name="_Toc28088"/>
      <w:bookmarkStart w:id="4" w:name="_Toc22129"/>
      <w:bookmarkStart w:id="5" w:name="_Toc27992"/>
      <w:bookmarkStart w:id="6" w:name="_Toc14473"/>
      <w:bookmarkStart w:id="7" w:name="_Toc11236"/>
      <w:bookmarkStart w:id="8" w:name="_Toc170482136"/>
      <w:r>
        <w:rPr>
          <w:rFonts w:hint="eastAsia" w:ascii="Times New Roman" w:hAnsi="Times New Roman" w:eastAsia="方正小标宋简体" w:cs="方正小标宋简体"/>
          <w:b w:val="0"/>
          <w:bCs w:val="0"/>
          <w:sz w:val="36"/>
          <w:szCs w:val="36"/>
          <w:highlight w:val="none"/>
          <w:lang w:eastAsia="zh-CN"/>
        </w:rPr>
        <w:t>总则</w:t>
      </w:r>
      <w:bookmarkEnd w:id="3"/>
      <w:bookmarkEnd w:id="4"/>
      <w:bookmarkEnd w:id="5"/>
      <w:bookmarkEnd w:id="6"/>
      <w:bookmarkEnd w:id="7"/>
    </w:p>
    <w:p w14:paraId="2251E6BF">
      <w:pPr>
        <w:keepNext/>
        <w:keepLines/>
        <w:pageBreakBefore w:val="0"/>
        <w:numPr>
          <w:ilvl w:val="2"/>
          <w:numId w:val="5"/>
        </w:numPr>
        <w:wordWrap/>
        <w:overflowPunct/>
        <w:topLinePunct w:val="0"/>
        <w:bidi w:val="0"/>
        <w:spacing w:line="600" w:lineRule="exact"/>
        <w:ind w:firstLineChars="0"/>
        <w:jc w:val="left"/>
        <w:outlineLvl w:val="1"/>
        <w:rPr>
          <w:rFonts w:hint="eastAsia" w:ascii="Times New Roman" w:hAnsi="Times New Roman" w:eastAsia="楷体" w:cs="Times New Roman"/>
          <w:szCs w:val="24"/>
          <w:highlight w:val="none"/>
          <w:lang w:eastAsia="zh-CN"/>
        </w:rPr>
      </w:pPr>
      <w:bookmarkStart w:id="9" w:name="_Toc16878"/>
      <w:bookmarkStart w:id="10" w:name="_Toc20114"/>
      <w:r>
        <w:rPr>
          <w:rFonts w:hint="eastAsia" w:ascii="Times New Roman" w:hAnsi="Times New Roman" w:eastAsia="楷体" w:cs="Times New Roman"/>
          <w:szCs w:val="24"/>
          <w:highlight w:val="none"/>
          <w:lang w:val="en-US" w:eastAsia="zh-CN"/>
        </w:rPr>
        <w:t xml:space="preserve"> </w:t>
      </w:r>
      <w:bookmarkStart w:id="11" w:name="_Toc29242"/>
      <w:bookmarkStart w:id="12" w:name="_Toc10709"/>
      <w:bookmarkStart w:id="13" w:name="_Toc19034"/>
      <w:r>
        <w:rPr>
          <w:rFonts w:hint="eastAsia" w:ascii="Times New Roman" w:hAnsi="Times New Roman" w:eastAsia="楷体" w:cs="Times New Roman"/>
          <w:szCs w:val="24"/>
          <w:highlight w:val="none"/>
          <w:lang w:eastAsia="zh-CN"/>
        </w:rPr>
        <w:t>规划目的</w:t>
      </w:r>
      <w:bookmarkEnd w:id="9"/>
      <w:bookmarkEnd w:id="10"/>
      <w:bookmarkEnd w:id="11"/>
      <w:bookmarkEnd w:id="12"/>
      <w:bookmarkEnd w:id="13"/>
    </w:p>
    <w:p w14:paraId="2B10FCE1">
      <w:pPr>
        <w:ind w:firstLine="640"/>
        <w:rPr>
          <w:rFonts w:ascii="仿宋_GB2312"/>
          <w:szCs w:val="32"/>
        </w:rPr>
      </w:pPr>
      <w:r>
        <w:rPr>
          <w:rFonts w:hint="eastAsia" w:ascii="仿宋_GB2312" w:hAnsi="Times New Roman"/>
          <w:iCs/>
          <w:szCs w:val="32"/>
        </w:rPr>
        <w:t>为贯彻落实《中共中央 国务院关于建立国土空间规划体系并监督实施的若干意见》（中发〔2019〕18号）、《自然资源部关于全面开展国土空间规划工作的通知》（自然资发〔2019〕87号）等文件精神，构建国土空间规划体系，规范四海店镇的开发保护活动，特编制《绥棱县</w:t>
      </w:r>
      <w:r>
        <w:rPr>
          <w:rFonts w:hint="eastAsia" w:ascii="仿宋_GB2312" w:hAnsi="Times New Roman"/>
          <w:iCs/>
          <w:szCs w:val="32"/>
          <w:lang w:val="en-US" w:eastAsia="zh-CN"/>
        </w:rPr>
        <w:t>靠山乡</w:t>
      </w:r>
      <w:r>
        <w:rPr>
          <w:rFonts w:hint="eastAsia" w:ascii="仿宋_GB2312" w:hAnsi="Times New Roman"/>
          <w:iCs/>
          <w:szCs w:val="32"/>
        </w:rPr>
        <w:t>国土空间总体规划（2021—2035年）》（以下简称《规划》）</w:t>
      </w:r>
      <w:r>
        <w:rPr>
          <w:rFonts w:hint="eastAsia" w:ascii="仿宋_GB2312"/>
          <w:szCs w:val="32"/>
        </w:rPr>
        <w:t>。</w:t>
      </w:r>
    </w:p>
    <w:p w14:paraId="7E8401FB">
      <w:pPr>
        <w:ind w:firstLine="640"/>
        <w:rPr>
          <w:rFonts w:hint="eastAsia" w:ascii="Times New Roman" w:hAnsi="Times New Roman" w:eastAsia="仿宋GB2312" w:cs="仿宋"/>
          <w:color w:val="000000"/>
          <w:kern w:val="0"/>
          <w:szCs w:val="32"/>
          <w:highlight w:val="none"/>
          <w:lang w:eastAsia="zh-CN" w:bidi="ar"/>
        </w:rPr>
      </w:pPr>
    </w:p>
    <w:p w14:paraId="68EC654A">
      <w:pPr>
        <w:keepNext/>
        <w:keepLines/>
        <w:pageBreakBefore w:val="0"/>
        <w:numPr>
          <w:ilvl w:val="2"/>
          <w:numId w:val="5"/>
        </w:numPr>
        <w:wordWrap/>
        <w:overflowPunct/>
        <w:topLinePunct w:val="0"/>
        <w:bidi w:val="0"/>
        <w:spacing w:line="600" w:lineRule="exact"/>
        <w:ind w:firstLineChars="0"/>
        <w:jc w:val="left"/>
        <w:outlineLvl w:val="1"/>
        <w:rPr>
          <w:rFonts w:hint="eastAsia" w:ascii="Times New Roman" w:hAnsi="Times New Roman" w:eastAsia="楷体" w:cs="Times New Roman"/>
          <w:szCs w:val="24"/>
          <w:highlight w:val="none"/>
          <w:lang w:eastAsia="zh-CN"/>
        </w:rPr>
      </w:pPr>
      <w:bookmarkStart w:id="14" w:name="_Toc31585"/>
      <w:bookmarkStart w:id="15" w:name="_Toc20086"/>
      <w:r>
        <w:rPr>
          <w:rFonts w:hint="eastAsia" w:ascii="Times New Roman" w:hAnsi="Times New Roman" w:eastAsia="楷体" w:cs="Times New Roman"/>
          <w:szCs w:val="24"/>
          <w:highlight w:val="none"/>
          <w:lang w:val="en-US" w:eastAsia="zh-CN"/>
        </w:rPr>
        <w:t xml:space="preserve"> </w:t>
      </w:r>
      <w:bookmarkStart w:id="16" w:name="_Toc6651"/>
      <w:bookmarkStart w:id="17" w:name="_Toc12429"/>
      <w:bookmarkStart w:id="18" w:name="_Toc14934"/>
      <w:r>
        <w:rPr>
          <w:rFonts w:hint="eastAsia" w:ascii="Times New Roman" w:hAnsi="Times New Roman" w:eastAsia="楷体" w:cs="Times New Roman"/>
          <w:szCs w:val="24"/>
          <w:highlight w:val="none"/>
          <w:lang w:eastAsia="zh-CN"/>
        </w:rPr>
        <w:t>规划作用</w:t>
      </w:r>
      <w:bookmarkEnd w:id="14"/>
      <w:bookmarkEnd w:id="15"/>
      <w:bookmarkEnd w:id="16"/>
      <w:bookmarkEnd w:id="17"/>
      <w:bookmarkEnd w:id="18"/>
    </w:p>
    <w:p w14:paraId="28597F8D">
      <w:pPr>
        <w:ind w:firstLine="640"/>
        <w:rPr>
          <w:rFonts w:hint="eastAsia" w:ascii="仿宋_GB2312" w:hAnsi="Times New Roman"/>
          <w:iCs/>
          <w:szCs w:val="32"/>
        </w:rPr>
      </w:pPr>
      <w:bookmarkStart w:id="19" w:name="_Toc5016"/>
      <w:bookmarkStart w:id="20" w:name="_Toc2145"/>
      <w:r>
        <w:rPr>
          <w:rFonts w:hint="eastAsia" w:ascii="仿宋_GB2312" w:hAnsi="Times New Roman"/>
          <w:iCs/>
          <w:szCs w:val="32"/>
        </w:rPr>
        <w:t>《规划》是本级政府对上级《绥棱县国土空间总体规划（2021—2035 年）》的细化落实，是对</w:t>
      </w:r>
      <w:r>
        <w:rPr>
          <w:rFonts w:hint="eastAsia" w:ascii="仿宋_GB2312" w:hAnsi="Times New Roman"/>
          <w:iCs/>
          <w:szCs w:val="32"/>
          <w:lang w:val="en-US" w:eastAsia="zh-CN"/>
        </w:rPr>
        <w:t>靠山乡乡</w:t>
      </w:r>
      <w:r>
        <w:rPr>
          <w:rFonts w:hint="eastAsia" w:ascii="仿宋_GB2312" w:hAnsi="Times New Roman"/>
          <w:iCs/>
          <w:szCs w:val="32"/>
        </w:rPr>
        <w:t>域国土空间保护开发作出的具体安排，是</w:t>
      </w:r>
      <w:r>
        <w:rPr>
          <w:rFonts w:hint="eastAsia" w:ascii="仿宋_GB2312" w:hAnsi="Times New Roman"/>
          <w:iCs/>
          <w:szCs w:val="32"/>
          <w:lang w:val="en-US" w:eastAsia="zh-CN"/>
        </w:rPr>
        <w:t>靠山乡</w:t>
      </w:r>
      <w:r>
        <w:rPr>
          <w:rFonts w:hint="eastAsia" w:ascii="仿宋_GB2312" w:hAnsi="Times New Roman"/>
          <w:iCs/>
          <w:szCs w:val="32"/>
        </w:rPr>
        <w:t>进行空间治理的工具，是详细规划、实施国土空间用途管制的基本依据。</w:t>
      </w:r>
    </w:p>
    <w:p w14:paraId="72617817">
      <w:pPr>
        <w:keepNext/>
        <w:keepLines/>
        <w:pageBreakBefore w:val="0"/>
        <w:numPr>
          <w:ilvl w:val="2"/>
          <w:numId w:val="5"/>
        </w:numPr>
        <w:wordWrap/>
        <w:overflowPunct/>
        <w:topLinePunct w:val="0"/>
        <w:bidi w:val="0"/>
        <w:spacing w:line="600" w:lineRule="exact"/>
        <w:ind w:firstLineChars="0"/>
        <w:jc w:val="left"/>
        <w:outlineLvl w:val="1"/>
        <w:rPr>
          <w:rFonts w:hint="eastAsia" w:ascii="Times New Roman" w:hAnsi="Times New Roman" w:eastAsia="楷体" w:cs="Times New Roman"/>
          <w:szCs w:val="24"/>
          <w:highlight w:val="none"/>
          <w:lang w:eastAsia="zh-CN"/>
        </w:rPr>
      </w:pPr>
      <w:r>
        <w:rPr>
          <w:rFonts w:hint="eastAsia" w:ascii="Times New Roman" w:hAnsi="Times New Roman" w:eastAsia="楷体" w:cs="Times New Roman"/>
          <w:szCs w:val="24"/>
          <w:highlight w:val="none"/>
          <w:lang w:val="en-US" w:eastAsia="zh-CN"/>
        </w:rPr>
        <w:t xml:space="preserve"> </w:t>
      </w:r>
      <w:bookmarkStart w:id="21" w:name="_Toc23108"/>
      <w:bookmarkStart w:id="22" w:name="_Toc1645"/>
      <w:bookmarkStart w:id="23" w:name="_Toc27666"/>
      <w:r>
        <w:rPr>
          <w:rFonts w:hint="eastAsia" w:ascii="Times New Roman" w:hAnsi="Times New Roman" w:eastAsia="楷体" w:cs="Times New Roman"/>
          <w:szCs w:val="24"/>
          <w:highlight w:val="none"/>
          <w:lang w:eastAsia="zh-CN"/>
        </w:rPr>
        <w:t>指导思想</w:t>
      </w:r>
      <w:bookmarkEnd w:id="19"/>
      <w:bookmarkEnd w:id="20"/>
      <w:bookmarkEnd w:id="21"/>
      <w:bookmarkEnd w:id="22"/>
      <w:bookmarkEnd w:id="23"/>
    </w:p>
    <w:p w14:paraId="6BBB3CCD">
      <w:pPr>
        <w:spacing w:before="312" w:beforeLines="100" w:after="156" w:afterLines="50"/>
        <w:ind w:firstLine="640"/>
        <w:rPr>
          <w:rFonts w:ascii="仿宋_GB2312" w:hAnsi="Times New Roman"/>
          <w:iCs/>
          <w:szCs w:val="32"/>
        </w:rPr>
      </w:pPr>
      <w:bookmarkStart w:id="24" w:name="_Toc32429"/>
      <w:bookmarkStart w:id="25" w:name="_Toc2831"/>
      <w:r>
        <w:rPr>
          <w:rFonts w:hint="eastAsia" w:ascii="仿宋_GB2312" w:hAnsi="Times New Roman"/>
          <w:iCs/>
          <w:szCs w:val="32"/>
        </w:rPr>
        <w:t>以习近平新时代中国特色社会主义思想为指导，深入贯彻党的二十大和二十届二中、三中全会精神，全面落实习近平总书记在深入推进东北振兴座谈会和考察黑龙江重要讲话精神，紧紧围绕统筹推进“五位一体”总体布局和协调推进“四个全面”战略布局，落实市委市政府、县委县政府重大决策部署，全面贯彻新发展理念，深入实施生态文明建设，坚持农业安全优先、生态保护优先，坚持以人民为中心，坚持一切从实际出发，推动高质量发展，打造高品质生活，实现高效能治理，开启</w:t>
      </w:r>
      <w:r>
        <w:rPr>
          <w:rFonts w:hint="eastAsia" w:ascii="仿宋_GB2312" w:hAnsi="Times New Roman"/>
          <w:iCs/>
          <w:szCs w:val="32"/>
          <w:lang w:val="en-US" w:eastAsia="zh-CN"/>
        </w:rPr>
        <w:t>靠山乡</w:t>
      </w:r>
      <w:r>
        <w:rPr>
          <w:rFonts w:hint="eastAsia" w:ascii="仿宋_GB2312" w:hAnsi="Times New Roman"/>
          <w:iCs/>
          <w:szCs w:val="32"/>
        </w:rPr>
        <w:t>全方位振兴新征程。</w:t>
      </w:r>
    </w:p>
    <w:p w14:paraId="42860179">
      <w:pPr>
        <w:keepNext/>
        <w:keepLines/>
        <w:pageBreakBefore w:val="0"/>
        <w:numPr>
          <w:ilvl w:val="2"/>
          <w:numId w:val="5"/>
        </w:numPr>
        <w:wordWrap/>
        <w:overflowPunct/>
        <w:topLinePunct w:val="0"/>
        <w:bidi w:val="0"/>
        <w:spacing w:line="600" w:lineRule="exact"/>
        <w:ind w:firstLineChars="0"/>
        <w:jc w:val="left"/>
        <w:outlineLvl w:val="1"/>
        <w:rPr>
          <w:rFonts w:hint="eastAsia" w:ascii="Times New Roman" w:hAnsi="Times New Roman" w:eastAsia="楷体" w:cs="Times New Roman"/>
          <w:szCs w:val="24"/>
          <w:highlight w:val="none"/>
          <w:lang w:eastAsia="zh-CN"/>
        </w:rPr>
      </w:pPr>
      <w:r>
        <w:rPr>
          <w:rFonts w:hint="eastAsia" w:ascii="Times New Roman" w:hAnsi="Times New Roman" w:eastAsia="楷体" w:cs="Times New Roman"/>
          <w:szCs w:val="24"/>
          <w:highlight w:val="none"/>
          <w:lang w:val="en-US" w:eastAsia="zh-CN"/>
        </w:rPr>
        <w:t xml:space="preserve"> </w:t>
      </w:r>
      <w:bookmarkStart w:id="26" w:name="_Toc29118"/>
      <w:bookmarkStart w:id="27" w:name="_Toc26208"/>
      <w:bookmarkStart w:id="28" w:name="_Toc25636"/>
      <w:r>
        <w:rPr>
          <w:rFonts w:hint="eastAsia" w:ascii="Times New Roman" w:hAnsi="Times New Roman" w:eastAsia="楷体" w:cs="Times New Roman"/>
          <w:szCs w:val="24"/>
          <w:highlight w:val="none"/>
          <w:lang w:val="en-US" w:eastAsia="zh-CN"/>
        </w:rPr>
        <w:t>编制</w:t>
      </w:r>
      <w:r>
        <w:rPr>
          <w:rFonts w:hint="eastAsia" w:ascii="Times New Roman" w:hAnsi="Times New Roman" w:eastAsia="楷体" w:cs="Times New Roman"/>
          <w:szCs w:val="24"/>
          <w:highlight w:val="none"/>
          <w:lang w:eastAsia="zh-CN"/>
        </w:rPr>
        <w:t>原则</w:t>
      </w:r>
      <w:bookmarkEnd w:id="24"/>
      <w:bookmarkEnd w:id="25"/>
      <w:bookmarkEnd w:id="26"/>
      <w:bookmarkEnd w:id="27"/>
      <w:bookmarkEnd w:id="28"/>
    </w:p>
    <w:p w14:paraId="66DC0C4B">
      <w:pPr>
        <w:ind w:firstLine="640"/>
      </w:pPr>
      <w:r>
        <w:rPr>
          <w:rFonts w:hint="eastAsia"/>
        </w:rPr>
        <w:t>坚持安全底线，绿色发展。落实市县总规划定的“三条控制线”，严守国防安全、粮食安全、生态安全、能源安全、产业安全底线。</w:t>
      </w:r>
    </w:p>
    <w:p w14:paraId="481F62D1">
      <w:pPr>
        <w:ind w:firstLine="640"/>
      </w:pPr>
      <w:r>
        <w:rPr>
          <w:rFonts w:hint="eastAsia"/>
        </w:rPr>
        <w:t>坚持以人为本，品质提升。以人民为中心，处理好人与自然的和谐关系，实现城乡高质量发展、高品质生活。</w:t>
      </w:r>
    </w:p>
    <w:p w14:paraId="06083931">
      <w:pPr>
        <w:ind w:firstLine="640"/>
      </w:pPr>
      <w:r>
        <w:rPr>
          <w:rFonts w:hint="eastAsia"/>
        </w:rPr>
        <w:t>坚持全域管控，适度集约。强化自然资源统筹利用和用途管控，探索控制城乡建设用地增量，盘活存量的内涵式发展路径，提高土地利用效率。</w:t>
      </w:r>
    </w:p>
    <w:p w14:paraId="7A016F30">
      <w:pPr>
        <w:ind w:firstLine="640"/>
      </w:pPr>
      <w:r>
        <w:rPr>
          <w:rFonts w:hint="eastAsia"/>
        </w:rPr>
        <w:t>坚持承上启下，体现特色。严格落实市县总规下达的传导内容，并将本级约束性指标（除用水总量）分解至村庄，因地制宜体现黑土地保护、生态环境、能源安全、矿业经济、守边固边等特色。</w:t>
      </w:r>
    </w:p>
    <w:p w14:paraId="67C55B94">
      <w:pPr>
        <w:ind w:firstLine="640"/>
      </w:pPr>
      <w:r>
        <w:rPr>
          <w:rFonts w:hint="eastAsia"/>
        </w:rPr>
        <w:t>坚持侧重实施，突出近期。侧重对本行政区域开发保护作出具体安排，突出与国民经济和社会发展规划的衔接，保障近期项目实施。</w:t>
      </w:r>
    </w:p>
    <w:p w14:paraId="66BF9F9D">
      <w:pPr>
        <w:ind w:firstLine="640"/>
      </w:pPr>
      <w:r>
        <w:rPr>
          <w:rFonts w:hint="eastAsia"/>
        </w:rPr>
        <w:t>坚持公众参与，开放共享。广泛征求公众意见，开门编规划，保障公众的知情权、参与权和监督权。</w:t>
      </w:r>
    </w:p>
    <w:p w14:paraId="54347237">
      <w:pPr>
        <w:pageBreakBefore w:val="0"/>
        <w:widowControl/>
        <w:wordWrap/>
        <w:overflowPunct/>
        <w:topLinePunct w:val="0"/>
        <w:bidi w:val="0"/>
        <w:spacing w:line="600" w:lineRule="exact"/>
        <w:ind w:left="0" w:leftChars="0" w:firstLine="0" w:firstLineChars="0"/>
        <w:rPr>
          <w:rFonts w:hint="eastAsia" w:ascii="Times New Roman" w:hAnsi="Times New Roman" w:eastAsia="仿宋GB2312" w:cs="仿宋"/>
          <w:color w:val="000000"/>
          <w:kern w:val="0"/>
          <w:szCs w:val="32"/>
          <w:highlight w:val="none"/>
          <w:lang w:eastAsia="zh-CN" w:bidi="ar"/>
        </w:rPr>
      </w:pPr>
    </w:p>
    <w:p w14:paraId="4E157C60">
      <w:pPr>
        <w:keepNext/>
        <w:keepLines/>
        <w:pageBreakBefore w:val="0"/>
        <w:numPr>
          <w:ilvl w:val="2"/>
          <w:numId w:val="5"/>
        </w:numPr>
        <w:wordWrap/>
        <w:overflowPunct/>
        <w:topLinePunct w:val="0"/>
        <w:bidi w:val="0"/>
        <w:spacing w:line="600" w:lineRule="exact"/>
        <w:ind w:firstLineChars="0"/>
        <w:jc w:val="left"/>
        <w:outlineLvl w:val="1"/>
        <w:rPr>
          <w:rFonts w:hint="default" w:ascii="Times New Roman" w:hAnsi="Times New Roman" w:eastAsia="楷体" w:cs="Times New Roman"/>
          <w:szCs w:val="24"/>
          <w:highlight w:val="none"/>
          <w:lang w:val="en-US" w:eastAsia="zh-CN"/>
        </w:rPr>
      </w:pPr>
      <w:bookmarkStart w:id="29" w:name="_Toc6696"/>
      <w:bookmarkStart w:id="30" w:name="_Toc24045"/>
      <w:r>
        <w:rPr>
          <w:rFonts w:hint="eastAsia" w:ascii="Times New Roman" w:hAnsi="Times New Roman" w:eastAsia="楷体" w:cs="Times New Roman"/>
          <w:szCs w:val="24"/>
          <w:highlight w:val="none"/>
          <w:lang w:val="en-US" w:eastAsia="zh-CN"/>
        </w:rPr>
        <w:t xml:space="preserve"> </w:t>
      </w:r>
      <w:bookmarkStart w:id="31" w:name="_Toc5292"/>
      <w:bookmarkStart w:id="32" w:name="_Toc9217"/>
      <w:bookmarkStart w:id="33" w:name="_Toc32739"/>
      <w:r>
        <w:rPr>
          <w:rFonts w:hint="eastAsia" w:ascii="Times New Roman" w:hAnsi="Times New Roman" w:eastAsia="楷体" w:cs="Times New Roman"/>
          <w:szCs w:val="24"/>
          <w:highlight w:val="none"/>
          <w:lang w:eastAsia="zh-CN"/>
        </w:rPr>
        <w:t>规划</w:t>
      </w:r>
      <w:bookmarkEnd w:id="29"/>
      <w:bookmarkEnd w:id="30"/>
      <w:bookmarkEnd w:id="31"/>
      <w:bookmarkEnd w:id="32"/>
      <w:r>
        <w:rPr>
          <w:rFonts w:hint="eastAsia" w:ascii="Times New Roman" w:hAnsi="Times New Roman" w:eastAsia="楷体" w:cs="Times New Roman"/>
          <w:szCs w:val="24"/>
          <w:highlight w:val="none"/>
          <w:lang w:val="en-US" w:eastAsia="zh-CN"/>
        </w:rPr>
        <w:t>期限</w:t>
      </w:r>
      <w:bookmarkEnd w:id="33"/>
    </w:p>
    <w:p w14:paraId="35CB6EE9">
      <w:pPr>
        <w:pStyle w:val="2"/>
        <w:ind w:firstLine="640"/>
        <w:rPr>
          <w:rFonts w:hint="eastAsia" w:ascii="仿宋_GB2312" w:hAnsi="仿宋_GB2312" w:eastAsia="仿宋_GB2312" w:cs="仿宋_GB2312"/>
        </w:rPr>
      </w:pPr>
      <w:r>
        <w:rPr>
          <w:rFonts w:hint="eastAsia" w:ascii="仿宋_GB2312" w:hAnsi="仿宋_GB2312" w:eastAsia="仿宋_GB2312" w:cs="仿宋_GB2312"/>
        </w:rPr>
        <w:t>规划基期年为2020年，规划期限为2021—2035年，近期规划至2025年，远景展望至2050年。</w:t>
      </w:r>
    </w:p>
    <w:p w14:paraId="13C6EB56">
      <w:pPr>
        <w:pStyle w:val="2"/>
        <w:ind w:firstLine="640"/>
        <w:rPr>
          <w:rFonts w:hint="eastAsia" w:ascii="仿宋_GB2312" w:hAnsi="仿宋_GB2312" w:eastAsia="仿宋_GB2312" w:cs="仿宋_GB2312"/>
          <w:lang w:eastAsia="zh-CN"/>
        </w:rPr>
      </w:pPr>
      <w:r>
        <w:rPr>
          <w:rFonts w:hint="eastAsia" w:ascii="仿宋_GB2312" w:hAnsi="仿宋_GB2312" w:eastAsia="仿宋_GB2312" w:cs="仿宋_GB2312"/>
          <w:lang w:eastAsia="zh-CN"/>
        </w:rPr>
        <w:br w:type="page"/>
      </w:r>
    </w:p>
    <w:p w14:paraId="44386510">
      <w:pPr>
        <w:pStyle w:val="3"/>
        <w:keepNext/>
        <w:keepLines/>
        <w:pageBreakBefore w:val="0"/>
        <w:widowControl w:val="0"/>
        <w:numPr>
          <w:ilvl w:val="0"/>
          <w:numId w:val="5"/>
        </w:numPr>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简体" w:cs="方正小标宋简体"/>
          <w:b w:val="0"/>
          <w:bCs w:val="0"/>
          <w:sz w:val="36"/>
          <w:szCs w:val="36"/>
          <w:highlight w:val="none"/>
          <w:lang w:eastAsia="zh-CN"/>
        </w:rPr>
      </w:pPr>
      <w:bookmarkStart w:id="34" w:name="_Toc12874"/>
      <w:bookmarkStart w:id="35" w:name="_Toc23089"/>
      <w:bookmarkStart w:id="36" w:name="_Toc13637"/>
      <w:bookmarkStart w:id="37" w:name="_Toc1612"/>
      <w:bookmarkStart w:id="38" w:name="_Toc24188"/>
      <w:r>
        <w:rPr>
          <w:rFonts w:hint="eastAsia" w:ascii="Times New Roman" w:hAnsi="Times New Roman" w:eastAsia="方正小标宋简体" w:cs="方正小标宋简体"/>
          <w:b w:val="0"/>
          <w:bCs w:val="0"/>
          <w:sz w:val="36"/>
          <w:szCs w:val="36"/>
          <w:highlight w:val="none"/>
          <w:lang w:val="en-US" w:eastAsia="zh-CN"/>
        </w:rPr>
        <w:t>规划</w:t>
      </w:r>
      <w:r>
        <w:rPr>
          <w:rFonts w:hint="eastAsia" w:ascii="Times New Roman" w:hAnsi="Times New Roman" w:eastAsia="方正小标宋简体" w:cs="方正小标宋简体"/>
          <w:b w:val="0"/>
          <w:bCs w:val="0"/>
          <w:sz w:val="36"/>
          <w:szCs w:val="36"/>
          <w:highlight w:val="none"/>
          <w:lang w:eastAsia="zh-CN"/>
        </w:rPr>
        <w:t>基础</w:t>
      </w:r>
      <w:bookmarkEnd w:id="34"/>
      <w:bookmarkEnd w:id="35"/>
      <w:bookmarkEnd w:id="36"/>
      <w:bookmarkEnd w:id="37"/>
      <w:bookmarkEnd w:id="38"/>
    </w:p>
    <w:p w14:paraId="36646A48">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default" w:ascii="Times New Roman" w:hAnsi="Times New Roman"/>
          <w:highlight w:val="none"/>
          <w:lang w:val="en-US" w:eastAsia="zh-CN"/>
        </w:rPr>
      </w:pPr>
      <w:bookmarkStart w:id="39" w:name="bookmark5"/>
      <w:bookmarkEnd w:id="39"/>
      <w:bookmarkStart w:id="40" w:name="_Toc14545"/>
      <w:r>
        <w:rPr>
          <w:rFonts w:hint="eastAsia" w:ascii="Times New Roman" w:hAnsi="Times New Roman"/>
          <w:highlight w:val="none"/>
          <w:lang w:val="en-US" w:eastAsia="zh-CN"/>
        </w:rPr>
        <w:t xml:space="preserve"> </w:t>
      </w:r>
      <w:bookmarkStart w:id="41" w:name="_Toc32212"/>
      <w:r>
        <w:rPr>
          <w:rFonts w:hint="eastAsia" w:ascii="Times New Roman" w:hAnsi="Times New Roman"/>
          <w:highlight w:val="none"/>
          <w:lang w:val="en-US" w:eastAsia="zh-CN"/>
        </w:rPr>
        <w:t>现状特征与主要问题</w:t>
      </w:r>
      <w:bookmarkEnd w:id="40"/>
      <w:bookmarkEnd w:id="41"/>
    </w:p>
    <w:p w14:paraId="0E241C9E">
      <w:pPr>
        <w:keepNext/>
        <w:keepLines/>
        <w:pageBreakBefore w:val="0"/>
        <w:numPr>
          <w:ilvl w:val="2"/>
          <w:numId w:val="5"/>
        </w:numPr>
        <w:kinsoku/>
        <w:wordWrap/>
        <w:overflowPunct/>
        <w:topLinePunct w:val="0"/>
        <w:autoSpaceDE/>
        <w:autoSpaceDN/>
        <w:bidi w:val="0"/>
        <w:adjustRightInd/>
        <w:snapToGrid/>
        <w:spacing w:line="600" w:lineRule="exact"/>
        <w:ind w:firstLineChars="0"/>
        <w:jc w:val="left"/>
        <w:textAlignment w:val="auto"/>
        <w:outlineLvl w:val="2"/>
        <w:rPr>
          <w:rFonts w:hint="eastAsia" w:ascii="Times New Roman" w:hAnsi="Times New Roman" w:eastAsia="楷体" w:cs="Times New Roman"/>
          <w:szCs w:val="24"/>
          <w:highlight w:val="none"/>
          <w:lang w:eastAsia="zh-CN"/>
        </w:rPr>
      </w:pPr>
      <w:bookmarkStart w:id="42" w:name="_Toc28278"/>
      <w:bookmarkStart w:id="43" w:name="_Toc9770"/>
      <w:r>
        <w:rPr>
          <w:rFonts w:hint="eastAsia" w:ascii="Times New Roman" w:hAnsi="Times New Roman" w:eastAsia="楷体" w:cs="Times New Roman"/>
          <w:szCs w:val="24"/>
          <w:highlight w:val="none"/>
          <w:lang w:val="en-US" w:eastAsia="zh-CN"/>
        </w:rPr>
        <w:t xml:space="preserve"> </w:t>
      </w:r>
      <w:bookmarkEnd w:id="42"/>
      <w:bookmarkEnd w:id="43"/>
      <w:r>
        <w:rPr>
          <w:rFonts w:hint="eastAsia" w:ascii="Times New Roman" w:hAnsi="Times New Roman" w:eastAsia="楷体" w:cs="Times New Roman"/>
          <w:szCs w:val="24"/>
          <w:highlight w:val="none"/>
          <w:lang w:val="en-US" w:eastAsia="zh-CN"/>
        </w:rPr>
        <w:t>现状概况</w:t>
      </w:r>
    </w:p>
    <w:p w14:paraId="57C0E8A8">
      <w:pPr>
        <w:pageBreakBefore w:val="0"/>
        <w:widowControl/>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靠山乡隶属于黑龙江省绥化市绥棱县，地处绥棱县西南部、努敏河西岸，东南与上集镇隔努敏河相望，南与后头乡接壤，西邻克音河，北与克音河乡、阁山镇毗邻。原乡政府驻地位于光芒村，现已搬迁至绥棱县城内。交通状况良好，乡域内有铁路和公路过境。靠山乡有滨北铁路线过境，境内长8千米，通往丹东、哈尔滨、北安、黑河、哈东、齐齐哈尔站。靠山乡有国道333过境，境内长5千米，双向2车道，通往黑河。</w:t>
      </w:r>
    </w:p>
    <w:p w14:paraId="7B516B80">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楷体" w:hAnsi="楷体" w:eastAsia="楷体" w:cs="楷体"/>
          <w:color w:val="000000"/>
          <w:kern w:val="0"/>
          <w:szCs w:val="32"/>
          <w:highlight w:val="none"/>
          <w:lang w:val="en-US" w:eastAsia="zh-CN" w:bidi="ar"/>
        </w:rPr>
        <w:t>地形条件。</w:t>
      </w:r>
      <w:r>
        <w:rPr>
          <w:rFonts w:hint="eastAsia" w:ascii="仿宋_GB2312" w:hAnsi="仿宋_GB2312" w:eastAsia="仿宋_GB2312" w:cs="仿宋_GB2312"/>
          <w:kern w:val="2"/>
          <w:sz w:val="32"/>
          <w:szCs w:val="22"/>
          <w:lang w:val="en-US" w:eastAsia="zh-CN" w:bidi="ar-SA"/>
        </w:rPr>
        <w:t>靠山乡地处松嫩平原的高平原地带，地势东南高西北低，地域东西长，南北窄，地形呈缓坡起伏，境内最高点位于八里桥屯，海拔230米；最低点为黄家窑位于东升村，海拔171米。</w:t>
      </w:r>
    </w:p>
    <w:p w14:paraId="1D5AD2C3">
      <w:pPr>
        <w:keepNext/>
        <w:keepLines/>
        <w:pageBreakBefore w:val="0"/>
        <w:numPr>
          <w:ilvl w:val="2"/>
          <w:numId w:val="5"/>
        </w:numPr>
        <w:kinsoku/>
        <w:wordWrap/>
        <w:overflowPunct/>
        <w:topLinePunct w:val="0"/>
        <w:autoSpaceDE/>
        <w:autoSpaceDN/>
        <w:bidi w:val="0"/>
        <w:adjustRightInd/>
        <w:snapToGrid/>
        <w:spacing w:line="600" w:lineRule="exact"/>
        <w:ind w:firstLineChars="0"/>
        <w:jc w:val="left"/>
        <w:textAlignment w:val="auto"/>
        <w:outlineLvl w:val="2"/>
        <w:rPr>
          <w:rFonts w:hint="default" w:ascii="Times New Roman" w:hAnsi="Times New Roman" w:eastAsia="楷体" w:cs="Times New Roman"/>
          <w:szCs w:val="24"/>
          <w:highlight w:val="none"/>
          <w:lang w:val="en-US" w:eastAsia="zh-CN"/>
        </w:rPr>
      </w:pPr>
      <w:bookmarkStart w:id="44" w:name="_Toc3492"/>
      <w:r>
        <w:rPr>
          <w:rFonts w:hint="eastAsia" w:ascii="Times New Roman" w:hAnsi="Times New Roman" w:eastAsia="楷体" w:cs="Times New Roman"/>
          <w:szCs w:val="24"/>
          <w:highlight w:val="none"/>
          <w:lang w:val="en-US" w:eastAsia="zh-CN"/>
        </w:rPr>
        <w:t xml:space="preserve"> 资源条件</w:t>
      </w:r>
      <w:bookmarkEnd w:id="44"/>
    </w:p>
    <w:p w14:paraId="7D4F972C">
      <w:pPr>
        <w:pageBreakBefore w:val="0"/>
        <w:widowControl/>
        <w:wordWrap/>
        <w:overflowPunct/>
        <w:topLinePunct w:val="0"/>
        <w:bidi w:val="0"/>
        <w:spacing w:line="600" w:lineRule="exact"/>
        <w:ind w:firstLine="640"/>
        <w:rPr>
          <w:rFonts w:hint="default" w:ascii="仿宋_GB2312" w:hAnsi="仿宋_GB2312" w:eastAsia="仿宋_GB2312" w:cs="仿宋_GB2312"/>
          <w:kern w:val="2"/>
          <w:sz w:val="32"/>
          <w:szCs w:val="22"/>
          <w:lang w:val="en-US" w:eastAsia="zh-CN" w:bidi="ar-SA"/>
        </w:rPr>
      </w:pPr>
      <w:r>
        <w:rPr>
          <w:rFonts w:hint="eastAsia" w:ascii="楷体" w:hAnsi="楷体" w:eastAsia="楷体" w:cs="楷体"/>
          <w:color w:val="000000"/>
          <w:kern w:val="0"/>
          <w:szCs w:val="32"/>
          <w:highlight w:val="none"/>
          <w:lang w:val="en-US" w:eastAsia="zh-CN" w:bidi="ar"/>
        </w:rPr>
        <w:t>水文条件。</w:t>
      </w:r>
      <w:r>
        <w:rPr>
          <w:rFonts w:hint="eastAsia" w:ascii="仿宋_GB2312" w:hAnsi="仿宋_GB2312" w:eastAsia="仿宋_GB2312" w:cs="仿宋_GB2312"/>
          <w:kern w:val="2"/>
          <w:sz w:val="32"/>
          <w:szCs w:val="22"/>
          <w:lang w:val="en-US" w:eastAsia="zh-CN" w:bidi="ar-SA"/>
        </w:rPr>
        <w:t>靠山乡境内主要河流有努敏河、克音河两条河流，努敏河河流总长265千米，年径流总量730万立方米。努敏河发源于小兴安岭南麓，境内长5千米，流域面积504平方米；克音河发源于绥棱县中部，流域长度12千米，流域面积36平方千米。</w:t>
      </w:r>
    </w:p>
    <w:p w14:paraId="17467E34">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楷体" w:hAnsi="楷体" w:eastAsia="楷体" w:cs="楷体"/>
          <w:color w:val="000000"/>
          <w:kern w:val="0"/>
          <w:szCs w:val="32"/>
          <w:highlight w:val="none"/>
          <w:lang w:val="en-US" w:eastAsia="zh-CN" w:bidi="ar"/>
        </w:rPr>
        <w:t>土壤条件。</w:t>
      </w:r>
      <w:r>
        <w:rPr>
          <w:rFonts w:hint="eastAsia" w:ascii="仿宋_GB2312" w:hAnsi="仿宋_GB2312" w:eastAsia="仿宋_GB2312" w:cs="仿宋_GB2312"/>
          <w:kern w:val="2"/>
          <w:sz w:val="32"/>
          <w:szCs w:val="22"/>
          <w:lang w:val="en-US" w:eastAsia="zh-CN" w:bidi="ar-SA"/>
        </w:rPr>
        <w:t>靠山乡土壤为黑土和草甸土，以黑土为主。黑土中有机质含量高、土壤肥沃、土质疏松，且因地形平缓、土地连片，便于大型机械耕作，能够产出大量的粮食。</w:t>
      </w:r>
    </w:p>
    <w:p w14:paraId="00E97ACA">
      <w:pPr>
        <w:keepNext/>
        <w:keepLines/>
        <w:pageBreakBefore w:val="0"/>
        <w:numPr>
          <w:ilvl w:val="2"/>
          <w:numId w:val="5"/>
        </w:numPr>
        <w:kinsoku/>
        <w:wordWrap/>
        <w:overflowPunct/>
        <w:topLinePunct w:val="0"/>
        <w:autoSpaceDE/>
        <w:autoSpaceDN/>
        <w:bidi w:val="0"/>
        <w:adjustRightInd/>
        <w:snapToGrid/>
        <w:spacing w:line="600" w:lineRule="exact"/>
        <w:ind w:firstLineChars="0"/>
        <w:jc w:val="left"/>
        <w:textAlignment w:val="auto"/>
        <w:outlineLvl w:val="2"/>
        <w:rPr>
          <w:rFonts w:hint="eastAsia" w:ascii="Times New Roman" w:hAnsi="Times New Roman" w:eastAsia="楷体" w:cs="Times New Roman"/>
          <w:szCs w:val="24"/>
          <w:highlight w:val="none"/>
          <w:lang w:eastAsia="zh-CN"/>
        </w:rPr>
      </w:pPr>
      <w:bookmarkStart w:id="45" w:name="_Toc12453"/>
      <w:bookmarkStart w:id="46" w:name="_Toc4040"/>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社会经济概况</w:t>
      </w:r>
      <w:bookmarkEnd w:id="45"/>
      <w:bookmarkEnd w:id="46"/>
    </w:p>
    <w:p w14:paraId="3248201C">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靠山乡下辖7个行政村：九江村、胜利村、光芒村、双合村、富国村、七井村、靠山村，2020年底靠山乡户籍人口共5362人。常住人口不足5000人，其中双合村和光芒村常住人口最多。</w:t>
      </w:r>
    </w:p>
    <w:p w14:paraId="39177496">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靠山乡以农业为主，主要粮食作物有大豆、玉米、水稻，主要经济作物有蔬菜、木耳、林果等。2020年末全乡农村经济总收入实现2.96亿元，农民劳务4919万元，农民人均纯收入14536.26元，财政收入实现1789万元，村集体收入285万元。</w:t>
      </w:r>
    </w:p>
    <w:p w14:paraId="2C925046">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47" w:name="_Toc17781"/>
      <w:r>
        <w:rPr>
          <w:rFonts w:hint="eastAsia" w:ascii="Times New Roman" w:hAnsi="Times New Roman" w:eastAsia="楷体" w:cs="Times New Roman"/>
          <w:szCs w:val="24"/>
          <w:highlight w:val="none"/>
          <w:lang w:val="en-US" w:eastAsia="zh-CN"/>
        </w:rPr>
        <w:t xml:space="preserve"> 主要问题</w:t>
      </w:r>
      <w:bookmarkEnd w:id="47"/>
    </w:p>
    <w:p w14:paraId="2067CC36">
      <w:pPr>
        <w:pageBreakBefore w:val="0"/>
        <w:widowControl/>
        <w:wordWrap/>
        <w:overflowPunct/>
        <w:topLinePunct w:val="0"/>
        <w:bidi w:val="0"/>
        <w:spacing w:line="600" w:lineRule="exact"/>
        <w:ind w:firstLine="640"/>
        <w:rPr>
          <w:rFonts w:hint="default"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1、城乡问题</w:t>
      </w:r>
    </w:p>
    <w:p w14:paraId="5C680826">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人口老龄化严重，带来的社会保障和公共服务压力对城乡养老设施配置带来严重挑战。大量青壮年外出务工造成人力资源流失，大量原住宅废弃、空置或半空置，农村居民点建新不拆旧，形成了农村建设用地分散和浪费，空心化问题严重。</w:t>
      </w:r>
      <w:bookmarkStart w:id="48" w:name="_Toc21420"/>
    </w:p>
    <w:bookmarkEnd w:id="48"/>
    <w:p w14:paraId="684B314B">
      <w:pPr>
        <w:pageBreakBefore w:val="0"/>
        <w:widowControl/>
        <w:wordWrap/>
        <w:overflowPunct/>
        <w:topLinePunct w:val="0"/>
        <w:bidi w:val="0"/>
        <w:spacing w:line="600" w:lineRule="exact"/>
        <w:ind w:firstLine="640"/>
        <w:rPr>
          <w:rFonts w:hint="default"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2、产业问题</w:t>
      </w:r>
    </w:p>
    <w:p w14:paraId="787C9F7B">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靠山乡以农业为主，经济结构单一，全乡种植玉米4.7万亩，水稻2.1万亩，大豆稳定在3万亩，棚室蔬菜、特色经济作物8000多亩，受自然资源影响较大。非农产业发展滞后，靠山乡内营业面积50平方米以上的综合商店仅9个。农产品加工产业总体规模小，产业间关联度较低，产业配套不完善，产品档次和附加值不高，品牌效应不够明显，难以形成自身竞争力。</w:t>
      </w:r>
    </w:p>
    <w:p w14:paraId="7884B340">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3、乡村风貌问题</w:t>
      </w:r>
    </w:p>
    <w:p w14:paraId="3DC6E990">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靠山乡内村庄房屋建筑风格不统一、建筑质量也存在较大差别，难以有序的展现乡村形象。街道两旁边沟卫生条件较差，需整体提升村容村貌，加强乡村风貌引导，促进村庄形态与自然环境相得益彰。</w:t>
      </w:r>
    </w:p>
    <w:p w14:paraId="383B8A12">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49" w:name="_Toc19560"/>
      <w:bookmarkStart w:id="50" w:name="_Toc31418"/>
      <w:bookmarkStart w:id="51" w:name="_Toc7377"/>
      <w:r>
        <w:rPr>
          <w:rFonts w:hint="eastAsia" w:ascii="Times New Roman" w:hAnsi="Times New Roman"/>
          <w:highlight w:val="none"/>
          <w:lang w:val="en-US" w:eastAsia="zh-CN"/>
        </w:rPr>
        <w:t xml:space="preserve"> </w:t>
      </w:r>
      <w:bookmarkStart w:id="52" w:name="_Toc24245"/>
      <w:r>
        <w:rPr>
          <w:rFonts w:hint="eastAsia" w:ascii="Times New Roman" w:hAnsi="Times New Roman"/>
          <w:highlight w:val="none"/>
          <w:lang w:val="en-US" w:eastAsia="zh-CN"/>
        </w:rPr>
        <w:t>机遇与挑战</w:t>
      </w:r>
      <w:bookmarkEnd w:id="49"/>
      <w:bookmarkEnd w:id="50"/>
      <w:bookmarkEnd w:id="51"/>
      <w:bookmarkEnd w:id="52"/>
    </w:p>
    <w:p w14:paraId="158A3632">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53" w:name="_Toc23881"/>
      <w:r>
        <w:rPr>
          <w:rFonts w:hint="eastAsia" w:ascii="Times New Roman" w:hAnsi="Times New Roman" w:eastAsia="楷体" w:cs="Times New Roman"/>
          <w:szCs w:val="24"/>
          <w:highlight w:val="none"/>
          <w:lang w:val="en-US" w:eastAsia="zh-CN"/>
        </w:rPr>
        <w:t xml:space="preserve"> 发展机遇</w:t>
      </w:r>
      <w:bookmarkEnd w:id="53"/>
    </w:p>
    <w:p w14:paraId="63D367B6">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习近平总书记多次对我省作出重要讲话和重要指示批 示，党中央、国务院出台系列支持东北振兴政策措施，为靠山乡发展带来了前所未有的政策机遇和强大的政治动力，为靠山乡未来发展指明了方向。同时应紧紧抓住党中央思想，积极推进“乡村振兴”，深入优化发展新格局。</w:t>
      </w:r>
    </w:p>
    <w:p w14:paraId="09155B84">
      <w:pPr>
        <w:pageBreakBefore w:val="0"/>
        <w:widowControl/>
        <w:wordWrap/>
        <w:overflowPunct/>
        <w:topLinePunct w:val="0"/>
        <w:bidi w:val="0"/>
        <w:spacing w:line="600" w:lineRule="exact"/>
        <w:ind w:firstLine="640"/>
        <w:rPr>
          <w:rFonts w:hint="default"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靠山乡通过发挥自身优势，避免产业同质化，实现相对错位发展。以水稻、蔬菜、木耳等产业为抓手，大力发展绿色低碳和生态产业，着力打造靠山乡特色产业品牌，推动经济转型升级，实现科学发展。</w:t>
      </w:r>
    </w:p>
    <w:p w14:paraId="0288C699">
      <w:pPr>
        <w:keepNext/>
        <w:keepLines/>
        <w:pageBreakBefore w:val="0"/>
        <w:numPr>
          <w:ilvl w:val="2"/>
          <w:numId w:val="5"/>
        </w:numPr>
        <w:wordWrap/>
        <w:overflowPunct/>
        <w:topLinePunct w:val="0"/>
        <w:bidi w:val="0"/>
        <w:spacing w:line="600" w:lineRule="exact"/>
        <w:ind w:firstLineChars="0"/>
        <w:jc w:val="left"/>
        <w:outlineLvl w:val="2"/>
        <w:rPr>
          <w:rFonts w:hint="default" w:ascii="Times New Roman" w:hAnsi="Times New Roman" w:eastAsia="楷体" w:cs="Times New Roman"/>
          <w:szCs w:val="24"/>
          <w:highlight w:val="none"/>
          <w:lang w:val="en-US" w:eastAsia="zh-CN"/>
        </w:rPr>
      </w:pPr>
      <w:bookmarkStart w:id="54" w:name="_Toc16748"/>
      <w:r>
        <w:rPr>
          <w:rFonts w:hint="eastAsia" w:ascii="Times New Roman" w:hAnsi="Times New Roman" w:eastAsia="楷体" w:cs="Times New Roman"/>
          <w:szCs w:val="24"/>
          <w:highlight w:val="none"/>
          <w:lang w:val="en-US" w:eastAsia="zh-CN"/>
        </w:rPr>
        <w:t xml:space="preserve"> 面临挑战</w:t>
      </w:r>
      <w:bookmarkEnd w:id="54"/>
    </w:p>
    <w:p w14:paraId="297FD4DC">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1、靠山乡自然灾害频发，如早霜、洪涝、冰雹。</w:t>
      </w:r>
    </w:p>
    <w:p w14:paraId="648F7060">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早霜。早霜是靠山乡秋粮中后期影响产量的重要灾害，发生越早，产量损失越大，主要危害尚未成熟的水稻等秋收作物和未收获的露天蔬菜以及果树等。</w:t>
      </w:r>
    </w:p>
    <w:p w14:paraId="62FF5BA2">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洪涝。靠山乡洪涝区主要分布在努敏河与克音河沿岸，夏季低洼地块出现内涝，玉米、大豆等旱地作物根系通气不良容易缺氧，导致植株早衰或死亡，影响粮食产量。</w:t>
      </w:r>
    </w:p>
    <w:p w14:paraId="061EA1A0">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冰雹。靠山乡冰雹灾害经常发生，在1993年9月份遭受特大冰雹，全乡受灾面积达30%左右，造成直接经济损失严重。</w:t>
      </w:r>
    </w:p>
    <w:p w14:paraId="4F49C894">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2、人口流失和老龄化对未来发展提出了新的挑战。</w:t>
      </w:r>
    </w:p>
    <w:p w14:paraId="0B294315">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人口减少和人口老龄化会出现劳动力减少、消费模式改变、医疗和养老服务需求增加等情况，如何充分挖掘“第二次人口红利”、加强乡村适老设施建设、平衡人口减少和服务设施的关系，是未来发展面临的重要挑战。</w:t>
      </w:r>
    </w:p>
    <w:p w14:paraId="7727FF2D">
      <w:pPr>
        <w:pageBreakBefore w:val="0"/>
        <w:wordWrap/>
        <w:overflowPunct/>
        <w:topLinePunct w:val="0"/>
        <w:bidi w:val="0"/>
        <w:spacing w:line="600" w:lineRule="exact"/>
        <w:rPr>
          <w:rFonts w:hint="eastAsia" w:ascii="Times New Roman" w:hAnsi="Times New Roman" w:eastAsia="仿宋GB2312" w:cs="仿宋"/>
          <w:color w:val="000000"/>
          <w:kern w:val="0"/>
          <w:szCs w:val="32"/>
          <w:highlight w:val="none"/>
          <w:lang w:eastAsia="zh-CN" w:bidi="ar"/>
        </w:rPr>
      </w:pPr>
      <w:r>
        <w:rPr>
          <w:rFonts w:hint="eastAsia" w:ascii="Times New Roman" w:hAnsi="Times New Roman" w:eastAsia="仿宋GB2312" w:cs="仿宋"/>
          <w:color w:val="000000"/>
          <w:kern w:val="0"/>
          <w:szCs w:val="32"/>
          <w:highlight w:val="none"/>
          <w:lang w:eastAsia="zh-CN" w:bidi="ar"/>
        </w:rPr>
        <w:br w:type="page"/>
      </w:r>
    </w:p>
    <w:p w14:paraId="79CA3B68">
      <w:pPr>
        <w:pStyle w:val="3"/>
        <w:keepNext/>
        <w:keepLines/>
        <w:pageBreakBefore w:val="0"/>
        <w:widowControl w:val="0"/>
        <w:numPr>
          <w:ilvl w:val="0"/>
          <w:numId w:val="5"/>
        </w:numPr>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简体" w:cs="方正小标宋简体"/>
          <w:b w:val="0"/>
          <w:bCs w:val="0"/>
          <w:sz w:val="36"/>
          <w:szCs w:val="36"/>
          <w:highlight w:val="none"/>
          <w:lang w:eastAsia="zh-CN"/>
        </w:rPr>
      </w:pPr>
      <w:bookmarkStart w:id="55" w:name="_Toc8368"/>
      <w:bookmarkStart w:id="56" w:name="_Toc28243"/>
      <w:bookmarkStart w:id="57" w:name="_Toc30932"/>
      <w:r>
        <w:rPr>
          <w:rFonts w:hint="eastAsia" w:ascii="Times New Roman" w:hAnsi="Times New Roman" w:eastAsia="方正小标宋简体" w:cs="方正小标宋简体"/>
          <w:b w:val="0"/>
          <w:bCs w:val="0"/>
          <w:sz w:val="36"/>
          <w:szCs w:val="36"/>
          <w:highlight w:val="none"/>
          <w:lang w:eastAsia="zh-CN"/>
        </w:rPr>
        <w:t>目标</w:t>
      </w:r>
      <w:r>
        <w:rPr>
          <w:rFonts w:hint="eastAsia" w:ascii="Times New Roman" w:hAnsi="Times New Roman" w:eastAsia="方正小标宋简体" w:cs="方正小标宋简体"/>
          <w:b w:val="0"/>
          <w:bCs w:val="0"/>
          <w:sz w:val="36"/>
          <w:szCs w:val="36"/>
          <w:highlight w:val="none"/>
          <w:lang w:val="en-US" w:eastAsia="zh-CN"/>
        </w:rPr>
        <w:t>定位</w:t>
      </w:r>
      <w:r>
        <w:rPr>
          <w:rFonts w:hint="eastAsia" w:ascii="Times New Roman" w:hAnsi="Times New Roman" w:eastAsia="方正小标宋简体" w:cs="方正小标宋简体"/>
          <w:b w:val="0"/>
          <w:bCs w:val="0"/>
          <w:sz w:val="36"/>
          <w:szCs w:val="36"/>
          <w:highlight w:val="none"/>
          <w:lang w:eastAsia="zh-CN"/>
        </w:rPr>
        <w:t>与空间战略</w:t>
      </w:r>
      <w:bookmarkEnd w:id="55"/>
      <w:bookmarkEnd w:id="56"/>
      <w:bookmarkEnd w:id="57"/>
    </w:p>
    <w:p w14:paraId="223DD7BB">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58" w:name="bookmark13"/>
      <w:bookmarkEnd w:id="58"/>
      <w:bookmarkStart w:id="59" w:name="_Toc8528"/>
      <w:bookmarkStart w:id="60" w:name="_Toc16158"/>
      <w:bookmarkStart w:id="61" w:name="_Toc5784"/>
      <w:bookmarkStart w:id="62" w:name="_Toc27097"/>
      <w:r>
        <w:rPr>
          <w:rFonts w:hint="eastAsia" w:ascii="Times New Roman" w:hAnsi="Times New Roman"/>
          <w:highlight w:val="none"/>
          <w:lang w:val="en-US" w:eastAsia="zh-CN"/>
        </w:rPr>
        <w:t xml:space="preserve"> </w:t>
      </w:r>
      <w:bookmarkStart w:id="63" w:name="_Toc17128"/>
      <w:r>
        <w:rPr>
          <w:rFonts w:hint="eastAsia" w:ascii="Times New Roman" w:hAnsi="Times New Roman"/>
          <w:highlight w:val="none"/>
          <w:lang w:val="en-US" w:eastAsia="zh-CN"/>
        </w:rPr>
        <w:t>规划定位</w:t>
      </w:r>
      <w:bookmarkEnd w:id="59"/>
      <w:bookmarkEnd w:id="60"/>
      <w:bookmarkEnd w:id="61"/>
      <w:bookmarkEnd w:id="62"/>
      <w:bookmarkEnd w:id="63"/>
    </w:p>
    <w:p w14:paraId="59A13196">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64" w:name="_Toc18688"/>
      <w:bookmarkStart w:id="65" w:name="_Toc21432"/>
      <w:r>
        <w:rPr>
          <w:rFonts w:hint="eastAsia" w:ascii="Times New Roman" w:hAnsi="Times New Roman" w:eastAsia="楷体" w:cs="Times New Roman"/>
          <w:szCs w:val="24"/>
          <w:highlight w:val="none"/>
          <w:lang w:val="en-US" w:eastAsia="zh-CN"/>
        </w:rPr>
        <w:t xml:space="preserve"> 规划</w:t>
      </w:r>
      <w:r>
        <w:rPr>
          <w:rFonts w:hint="eastAsia" w:ascii="Times New Roman" w:hAnsi="Times New Roman" w:eastAsia="楷体" w:cs="Times New Roman"/>
          <w:szCs w:val="24"/>
          <w:highlight w:val="none"/>
          <w:lang w:eastAsia="zh-CN"/>
        </w:rPr>
        <w:t>定位</w:t>
      </w:r>
      <w:bookmarkEnd w:id="64"/>
      <w:bookmarkEnd w:id="65"/>
    </w:p>
    <w:p w14:paraId="67DF6388">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靠山乡是以优质水稻生产、温室蔬菜种植为主的城郊生态农业生产乡，是绥棱县重要的农副产品加工基地，属于一般乡村。</w:t>
      </w:r>
    </w:p>
    <w:p w14:paraId="09DC06A8">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1、生态农业生产基地</w:t>
      </w:r>
    </w:p>
    <w:p w14:paraId="6468295E">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充分利用靠山乡的耕地资源、高标准农田和水稻种植的基础，突出发展水稻种植业。靠山乡地处绥棱县城郊，紧邻绥棱县城。充分发挥其地理位置优势，在绥棱县周边大力发展温室大棚农业，种植蔬菜、水果等经济作物。将靠山乡建成绥棱县重要的城郊农业生产乡。</w:t>
      </w:r>
    </w:p>
    <w:p w14:paraId="60A9199E">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2、农副产品加工基地</w:t>
      </w:r>
    </w:p>
    <w:p w14:paraId="230FE2A6">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依托靠山乡的地理位置优势以及精品水稻种植与温室大棚农业发展，在原乡政府驻地建设对应的农副产品加工企业，将靠山乡原有农副产品进行二次加工，打造自身品牌。建立起靠山乡农副产品加工基地。</w:t>
      </w:r>
    </w:p>
    <w:p w14:paraId="467DAFB3">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66" w:name="_Toc17118"/>
      <w:bookmarkStart w:id="67" w:name="_Toc27922"/>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发展目标</w:t>
      </w:r>
      <w:bookmarkEnd w:id="66"/>
      <w:bookmarkEnd w:id="67"/>
    </w:p>
    <w:p w14:paraId="550946E3">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1、总体目标</w:t>
      </w:r>
    </w:p>
    <w:p w14:paraId="1CC0D794">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牢固树立和贯彻落实创新、协调、绿色、开放、共享的发展理念，锚定“两个一百年”奋斗目标，以生态基底构筑为先导，提升乡域综合服务能级，推动种植业、农副产品加工做大做强，兼顾新常态背景下的发展速度与发展质量，打造以生态农业为特色、农副产品加工为支撑，具有高品质生活环境的城郊乡，实现生态、经济、社会协调持续发展。</w:t>
      </w:r>
    </w:p>
    <w:p w14:paraId="63D1AB60">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2、分阶段目标</w:t>
      </w:r>
    </w:p>
    <w:p w14:paraId="59BB880F">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2025年发展目标：国土空间保护力度不断加强，保证生态保护红线和永久永久基本农田管控严格落实，实现生态管控、耕地保护扎实有效，初步优化“三生”空间；人口、资源环境和经济布局更加协调，乡村无序发展有效控制；农业发展稳定，耕地保量提质、草地治理初显成效，国土整治、生态修复工程不断提速，生态环境质量不断提高；民生短板明显改善，人民生活水平显著提高，乡村基本公共服务均等化水平稳步提升。</w:t>
      </w:r>
    </w:p>
    <w:p w14:paraId="5D2B516B">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2035年发展目标：国土空间格局不断优化，“三区三线”管控体系基本稳定，黑土地保护水平大幅提升；生态文明体系构建进程加快，生态环境质量不断提升；农业发展迅速，耕地保有量、基本草原等任务基本完成，农业基础设施建设不断完善；山水林田湖草沙交融的景观格局更加稳固，乡域魅力格局更加彰显，寒地人居环境品质提升人民生活更加宜居幸福。</w:t>
      </w:r>
    </w:p>
    <w:p w14:paraId="57D530B7">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2050年展望目标：实现乡村建设、产业发展、环境品质、经济条件等方面全方位提升，全面建成绥棱县优质水稻生产、温室蔬菜种植基地以及重要的农副产品加工基地。</w:t>
      </w:r>
    </w:p>
    <w:p w14:paraId="6B25F55E">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68" w:name="_Toc29624"/>
      <w:bookmarkStart w:id="69" w:name="_Toc18701"/>
      <w:bookmarkStart w:id="70" w:name="_Toc5725"/>
      <w:r>
        <w:rPr>
          <w:rFonts w:hint="eastAsia" w:ascii="Times New Roman" w:hAnsi="Times New Roman"/>
          <w:highlight w:val="none"/>
          <w:lang w:val="en-US" w:eastAsia="zh-CN"/>
        </w:rPr>
        <w:t xml:space="preserve"> </w:t>
      </w:r>
      <w:bookmarkStart w:id="71" w:name="_Toc11343"/>
      <w:r>
        <w:rPr>
          <w:rFonts w:hint="eastAsia" w:ascii="Times New Roman" w:hAnsi="Times New Roman"/>
          <w:highlight w:val="none"/>
          <w:lang w:val="en-US" w:eastAsia="zh-CN"/>
        </w:rPr>
        <w:t>空间发展策略</w:t>
      </w:r>
      <w:bookmarkEnd w:id="68"/>
      <w:bookmarkEnd w:id="69"/>
      <w:bookmarkEnd w:id="70"/>
      <w:bookmarkEnd w:id="71"/>
    </w:p>
    <w:p w14:paraId="4893238E">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72" w:name="_Toc8423"/>
      <w:bookmarkStart w:id="73" w:name="_Toc30963"/>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国土空间开发保护策略</w:t>
      </w:r>
      <w:bookmarkEnd w:id="72"/>
      <w:bookmarkEnd w:id="73"/>
    </w:p>
    <w:p w14:paraId="2FA68E7F">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1、实施黑土保护、农业保障策略</w:t>
      </w:r>
    </w:p>
    <w:p w14:paraId="7D04BAE3">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坚持耕地数量、质量、生态“三位一体”保护，围绕全省建设“藏粮于地、藏粮于技”国家战略示范区、黑土地保护样板区，依托靠山乡的资源禀赋，落实最严格的耕地保护制度。</w:t>
      </w:r>
    </w:p>
    <w:p w14:paraId="5247A1E0">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2、实施生态优先、绿色发展策略</w:t>
      </w:r>
    </w:p>
    <w:p w14:paraId="19521123">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践行习近平总书记“绿水青山是金山银山，黑龙江的冰天雪地也是金山银山”的发展理念，落实上位规划传导的生态环境保护任务目标，推动生态文明建设。</w:t>
      </w:r>
    </w:p>
    <w:p w14:paraId="18C76B8B">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3、实施中心集聚、城乡统筹策略</w:t>
      </w:r>
    </w:p>
    <w:p w14:paraId="4350060A">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加快做大做优乡域发展中心，重点提升乡域发展能级，形成乡域发展框架，建设成为靠山乡特色乡域。将靠山乡农业深加工、物流业等产业集聚在光芒村（原乡政府驻地），带动其他村域共同发展。</w:t>
      </w:r>
    </w:p>
    <w:p w14:paraId="5E450E60">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4、实施系统优化、协调发展策略</w:t>
      </w:r>
    </w:p>
    <w:p w14:paraId="75A541CD">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坚持山水林田湖草生命共同体，优化资源要素配置。重点改善水域生态功能，加强湿地恢复；优化耕地布局，推动高标准农田建设；开展集中连片造林绿化工程；提升建设用地节约集约利用水平，整治低效用地，优化村庄布局。</w:t>
      </w:r>
    </w:p>
    <w:p w14:paraId="17305529">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5、实施特色引领、品质提升策略</w:t>
      </w:r>
    </w:p>
    <w:p w14:paraId="7B328B93">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提升村镇空间品质，补齐补足乡村各类设施发展“欠账”，加强总体乡村设计管控，营造“以人为本”的乡域空间。</w:t>
      </w:r>
    </w:p>
    <w:p w14:paraId="1B0183C2">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2、优化人口空间分布</w:t>
      </w:r>
    </w:p>
    <w:p w14:paraId="5577B1D1">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引导乡村人口有序转移，通过更好的居住环境和服务资源，引导乡村人口向主要村屯转移；以乡政府驻地为依托，就近吸纳农业转移人口。</w:t>
      </w:r>
    </w:p>
    <w:p w14:paraId="177CB450">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default" w:ascii="Times New Roman" w:hAnsi="Times New Roman"/>
          <w:highlight w:val="none"/>
          <w:lang w:val="en-US" w:eastAsia="zh-CN"/>
        </w:rPr>
      </w:pPr>
      <w:bookmarkStart w:id="74" w:name="_Toc10597"/>
      <w:r>
        <w:rPr>
          <w:rFonts w:hint="eastAsia" w:ascii="Times New Roman" w:hAnsi="Times New Roman"/>
          <w:highlight w:val="none"/>
          <w:lang w:val="en-US" w:eastAsia="zh-CN"/>
        </w:rPr>
        <w:t xml:space="preserve"> </w:t>
      </w:r>
      <w:bookmarkStart w:id="75" w:name="_Toc9813"/>
      <w:r>
        <w:rPr>
          <w:rFonts w:hint="eastAsia" w:ascii="Times New Roman" w:hAnsi="Times New Roman"/>
          <w:highlight w:val="none"/>
          <w:lang w:val="en-US" w:eastAsia="zh-CN"/>
        </w:rPr>
        <w:t>指标体系与上位规划落实</w:t>
      </w:r>
      <w:bookmarkEnd w:id="74"/>
      <w:bookmarkEnd w:id="75"/>
    </w:p>
    <w:p w14:paraId="47CBB71A">
      <w:pPr>
        <w:keepNext/>
        <w:keepLines/>
        <w:pageBreakBefore w:val="0"/>
        <w:numPr>
          <w:ilvl w:val="2"/>
          <w:numId w:val="5"/>
        </w:numPr>
        <w:wordWrap/>
        <w:overflowPunct/>
        <w:topLinePunct w:val="0"/>
        <w:bidi w:val="0"/>
        <w:spacing w:line="600" w:lineRule="exact"/>
        <w:ind w:firstLineChars="0"/>
        <w:jc w:val="left"/>
        <w:outlineLvl w:val="2"/>
        <w:rPr>
          <w:rFonts w:hint="default" w:ascii="Times New Roman" w:hAnsi="Times New Roman" w:eastAsia="楷体" w:cs="Times New Roman"/>
          <w:szCs w:val="24"/>
          <w:highlight w:val="none"/>
          <w:lang w:val="en-US" w:eastAsia="zh-CN"/>
        </w:rPr>
      </w:pPr>
      <w:bookmarkStart w:id="76" w:name="_Toc2271"/>
      <w:r>
        <w:rPr>
          <w:rFonts w:hint="eastAsia" w:ascii="Times New Roman" w:hAnsi="Times New Roman" w:eastAsia="楷体" w:cs="Times New Roman"/>
          <w:szCs w:val="24"/>
          <w:highlight w:val="none"/>
          <w:lang w:val="en-US" w:eastAsia="zh-CN"/>
        </w:rPr>
        <w:t xml:space="preserve"> 上位规划</w:t>
      </w:r>
      <w:bookmarkEnd w:id="76"/>
      <w:r>
        <w:rPr>
          <w:rFonts w:hint="eastAsia" w:ascii="Times New Roman" w:hAnsi="Times New Roman" w:eastAsia="楷体" w:cs="Times New Roman"/>
          <w:szCs w:val="24"/>
          <w:highlight w:val="none"/>
          <w:lang w:val="en-US" w:eastAsia="zh-CN"/>
        </w:rPr>
        <w:t>落实</w:t>
      </w:r>
    </w:p>
    <w:p w14:paraId="22AF2BB9">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落实绥棱县国土空间规划对本乡的规划指标传导要求，确定耕地保有量7305.05公顷，永久永久基本农田保护面积6288.64公顷，城镇开发边界扩展倍数为135.86。</w:t>
      </w:r>
    </w:p>
    <w:p w14:paraId="4B7ABB70">
      <w:pPr>
        <w:pageBreakBefore w:val="0"/>
        <w:wordWrap/>
        <w:overflowPunct/>
        <w:topLinePunct w:val="0"/>
        <w:bidi w:val="0"/>
        <w:spacing w:line="600" w:lineRule="exact"/>
        <w:rPr>
          <w:rFonts w:hint="eastAsia" w:ascii="Times New Roman" w:hAnsi="Times New Roman" w:eastAsia="仿宋GB2312" w:cs="仿宋"/>
          <w:color w:val="000000"/>
          <w:kern w:val="0"/>
          <w:szCs w:val="32"/>
          <w:highlight w:val="none"/>
          <w:lang w:bidi="ar"/>
        </w:rPr>
      </w:pPr>
      <w:r>
        <w:rPr>
          <w:rFonts w:hint="eastAsia" w:ascii="Times New Roman" w:hAnsi="Times New Roman" w:eastAsia="仿宋GB2312" w:cs="仿宋"/>
          <w:color w:val="000000"/>
          <w:kern w:val="0"/>
          <w:szCs w:val="32"/>
          <w:highlight w:val="none"/>
          <w:lang w:bidi="ar"/>
        </w:rPr>
        <w:br w:type="page"/>
      </w:r>
    </w:p>
    <w:p w14:paraId="3A6B8474">
      <w:pPr>
        <w:pStyle w:val="3"/>
        <w:keepNext/>
        <w:keepLines/>
        <w:pageBreakBefore w:val="0"/>
        <w:widowControl w:val="0"/>
        <w:numPr>
          <w:ilvl w:val="0"/>
          <w:numId w:val="5"/>
        </w:numPr>
        <w:kinsoku/>
        <w:wordWrap/>
        <w:overflowPunct/>
        <w:topLinePunct w:val="0"/>
        <w:autoSpaceDE/>
        <w:autoSpaceDN/>
        <w:bidi w:val="0"/>
        <w:adjustRightInd/>
        <w:snapToGrid/>
        <w:spacing w:before="0" w:after="0" w:line="600" w:lineRule="exact"/>
        <w:jc w:val="center"/>
        <w:textAlignment w:val="auto"/>
        <w:rPr>
          <w:rFonts w:hint="default" w:ascii="Times New Roman" w:hAnsi="Times New Roman" w:eastAsia="方正小标宋简体" w:cs="方正小标宋简体"/>
          <w:b w:val="0"/>
          <w:bCs w:val="0"/>
          <w:sz w:val="36"/>
          <w:szCs w:val="36"/>
          <w:highlight w:val="none"/>
          <w:lang w:val="en-US" w:eastAsia="zh-CN"/>
        </w:rPr>
      </w:pPr>
      <w:bookmarkStart w:id="77" w:name="_Toc3666"/>
      <w:bookmarkStart w:id="78" w:name="_Toc4740"/>
      <w:r>
        <w:rPr>
          <w:rFonts w:hint="eastAsia" w:ascii="Times New Roman" w:hAnsi="Times New Roman" w:eastAsia="方正小标宋简体" w:cs="方正小标宋简体"/>
          <w:b w:val="0"/>
          <w:bCs w:val="0"/>
          <w:sz w:val="36"/>
          <w:szCs w:val="36"/>
          <w:highlight w:val="none"/>
          <w:lang w:val="en-US" w:eastAsia="zh-CN"/>
        </w:rPr>
        <w:t>国土空间开发保护格局</w:t>
      </w:r>
      <w:bookmarkEnd w:id="77"/>
      <w:bookmarkEnd w:id="78"/>
    </w:p>
    <w:p w14:paraId="32CF787B">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default" w:ascii="Times New Roman" w:hAnsi="Times New Roman"/>
          <w:highlight w:val="none"/>
          <w:lang w:val="en-US" w:eastAsia="zh-CN"/>
        </w:rPr>
      </w:pPr>
      <w:bookmarkStart w:id="79" w:name="_Toc5504"/>
      <w:r>
        <w:rPr>
          <w:rFonts w:hint="eastAsia" w:ascii="Times New Roman" w:hAnsi="Times New Roman"/>
          <w:highlight w:val="none"/>
          <w:lang w:val="en-US" w:eastAsia="zh-CN"/>
        </w:rPr>
        <w:t xml:space="preserve"> </w:t>
      </w:r>
      <w:bookmarkStart w:id="80" w:name="_Toc2148"/>
      <w:r>
        <w:rPr>
          <w:rFonts w:hint="eastAsia" w:ascii="Times New Roman" w:hAnsi="Times New Roman"/>
          <w:highlight w:val="none"/>
          <w:lang w:val="en-US" w:eastAsia="zh-CN"/>
        </w:rPr>
        <w:t>落实三条控制线</w:t>
      </w:r>
      <w:bookmarkEnd w:id="79"/>
      <w:bookmarkEnd w:id="80"/>
    </w:p>
    <w:p w14:paraId="643FEA6A">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81" w:name="_Toc456"/>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耕地和永久</w:t>
      </w:r>
      <w:bookmarkEnd w:id="81"/>
      <w:r>
        <w:rPr>
          <w:rFonts w:hint="eastAsia" w:ascii="Times New Roman" w:hAnsi="Times New Roman" w:eastAsia="楷体" w:cs="Times New Roman"/>
          <w:szCs w:val="24"/>
          <w:highlight w:val="none"/>
          <w:lang w:eastAsia="zh-CN"/>
        </w:rPr>
        <w:t>永久基本农田</w:t>
      </w:r>
    </w:p>
    <w:p w14:paraId="1BBC7539">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u w:val="single"/>
          <w:lang w:val="en-US" w:eastAsia="zh-CN" w:bidi="ar-SA"/>
        </w:rPr>
      </w:pPr>
      <w:r>
        <w:rPr>
          <w:rFonts w:hint="eastAsia" w:ascii="楷体" w:hAnsi="楷体" w:eastAsia="楷体" w:cs="楷体"/>
          <w:color w:val="000000"/>
          <w:kern w:val="0"/>
          <w:szCs w:val="32"/>
          <w:highlight w:val="none"/>
          <w:lang w:val="en-US" w:eastAsia="zh-CN" w:bidi="ar"/>
        </w:rPr>
        <w:t>保护目标。</w:t>
      </w:r>
      <w:r>
        <w:rPr>
          <w:rFonts w:hint="eastAsia" w:ascii="仿宋_GB2312" w:hAnsi="仿宋_GB2312" w:eastAsia="仿宋_GB2312" w:cs="仿宋_GB2312"/>
          <w:kern w:val="2"/>
          <w:sz w:val="32"/>
          <w:szCs w:val="22"/>
          <w:u w:val="single"/>
          <w:lang w:val="en-US" w:eastAsia="zh-CN" w:bidi="ar-SA"/>
        </w:rPr>
        <w:t>优先划定耕地和永久永久基本农田保护红线。现状耕地应划尽划、应保尽保，优先确定耕地保护目标，将可以长期稳定利用耕地优先划入永久基本农田实行特殊保护。至2035年，靠山乡永久基本农田保护面积不低于6288.64公顷，包括靠山乡所有的水田和集中连片的旱地。至2035年，靠山乡耕地保有量不低于7305.05公顷。</w:t>
      </w:r>
    </w:p>
    <w:p w14:paraId="677AE604">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楷体" w:hAnsi="楷体" w:eastAsia="楷体" w:cs="楷体"/>
          <w:color w:val="000000"/>
          <w:kern w:val="0"/>
          <w:szCs w:val="32"/>
          <w:highlight w:val="none"/>
          <w:lang w:val="en-US" w:eastAsia="zh-CN" w:bidi="ar"/>
        </w:rPr>
        <w:t>管控要求。</w:t>
      </w:r>
      <w:r>
        <w:rPr>
          <w:rFonts w:hint="eastAsia" w:ascii="仿宋_GB2312" w:hAnsi="仿宋_GB2312" w:eastAsia="仿宋_GB2312" w:cs="仿宋_GB2312"/>
          <w:kern w:val="2"/>
          <w:sz w:val="32"/>
          <w:szCs w:val="22"/>
          <w:lang w:val="en-US" w:eastAsia="zh-CN" w:bidi="ar-SA"/>
        </w:rPr>
        <w:t>耕地和永久永久基本农田一经划定，未经批准不得擅自调整。优先保护乡村周边的耕地和永久永久基本农田，严格实施耕地用途管制。稳妥有序恢复流向其他农用地的耕地，补充流失耕地的缺口。各村庄规划应严格落实耕地和永久永久基本农田保护目标任务，确保划定的耕地和永久永久基本农田保护红线稳定。</w:t>
      </w:r>
      <w:bookmarkStart w:id="82" w:name="bookmark23"/>
      <w:bookmarkEnd w:id="82"/>
    </w:p>
    <w:tbl>
      <w:tblPr>
        <w:tblStyle w:val="36"/>
        <w:tblW w:w="86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7416"/>
      </w:tblGrid>
      <w:tr w14:paraId="1216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8631" w:type="dxa"/>
            <w:gridSpan w:val="2"/>
            <w:vAlign w:val="top"/>
          </w:tcPr>
          <w:p w14:paraId="60FE7E36">
            <w:pPr>
              <w:spacing w:before="46" w:line="206" w:lineRule="auto"/>
              <w:ind w:left="0" w:leftChars="0" w:firstLine="0" w:firstLineChars="0"/>
              <w:jc w:val="center"/>
              <w:rPr>
                <w:rFonts w:ascii="仿宋" w:hAnsi="仿宋" w:cs="仿宋"/>
                <w:color w:val="auto"/>
                <w:kern w:val="0"/>
                <w:szCs w:val="32"/>
                <w:highlight w:val="none"/>
              </w:rPr>
            </w:pPr>
            <w:r>
              <w:rPr>
                <w:rFonts w:hint="eastAsia" w:ascii="黑体" w:hAnsi="黑体" w:eastAsia="黑体" w:cs="黑体"/>
                <w:sz w:val="30"/>
                <w:szCs w:val="30"/>
                <w:highlight w:val="none"/>
                <w:lang w:val="en-US" w:eastAsia="zh-CN"/>
              </w:rPr>
              <w:t>专栏1：耕地和永久永久基本农田保护红线管控规则</w:t>
            </w:r>
          </w:p>
        </w:tc>
      </w:tr>
      <w:tr w14:paraId="125F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jc w:val="center"/>
        </w:trPr>
        <w:tc>
          <w:tcPr>
            <w:tcW w:w="1263" w:type="dxa"/>
            <w:vAlign w:val="top"/>
          </w:tcPr>
          <w:p w14:paraId="08931AA0">
            <w:pPr>
              <w:ind w:left="0" w:leftChars="0" w:firstLine="0" w:firstLineChars="0"/>
              <w:rPr>
                <w:rFonts w:hint="eastAsia" w:ascii="仿宋" w:hAnsi="仿宋" w:cs="仿宋"/>
                <w:color w:val="auto"/>
                <w:kern w:val="0"/>
                <w:szCs w:val="32"/>
                <w:highlight w:val="none"/>
                <w:lang w:val="en-US" w:eastAsia="zh-CN"/>
              </w:rPr>
            </w:pPr>
          </w:p>
          <w:p w14:paraId="7E2F631C">
            <w:pPr>
              <w:ind w:left="0" w:leftChars="0" w:firstLine="0" w:firstLineChars="0"/>
              <w:rPr>
                <w:rFonts w:hint="eastAsia" w:ascii="仿宋" w:hAnsi="仿宋" w:cs="仿宋"/>
                <w:color w:val="auto"/>
                <w:kern w:val="0"/>
                <w:szCs w:val="32"/>
                <w:highlight w:val="none"/>
                <w:lang w:val="en-US" w:eastAsia="zh-CN"/>
              </w:rPr>
            </w:pPr>
          </w:p>
          <w:p w14:paraId="768DD117">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r>
              <w:rPr>
                <w:rFonts w:hint="eastAsia" w:ascii="Times New Roman" w:hAnsi="Times New Roman" w:eastAsia="仿宋_GB2312" w:cs="Times New Roman"/>
                <w:snapToGrid w:val="0"/>
                <w:color w:val="000000"/>
                <w:kern w:val="2"/>
                <w:sz w:val="24"/>
                <w:szCs w:val="24"/>
                <w:highlight w:val="none"/>
                <w:lang w:val="en-US" w:eastAsia="zh-CN" w:bidi="ar-SA"/>
              </w:rPr>
              <w:t>耕</w:t>
            </w:r>
          </w:p>
          <w:p w14:paraId="0D8B7073">
            <w:pPr>
              <w:pStyle w:val="223"/>
              <w:spacing w:before="78" w:line="232" w:lineRule="auto"/>
              <w:ind w:right="167"/>
              <w:jc w:val="both"/>
              <w:rPr>
                <w:rFonts w:hint="default" w:ascii="仿宋" w:hAnsi="仿宋" w:eastAsia="仿宋" w:cs="仿宋"/>
                <w:color w:val="auto"/>
                <w:kern w:val="0"/>
                <w:szCs w:val="32"/>
                <w:highlight w:val="none"/>
                <w:lang w:val="en-US" w:eastAsia="zh-CN"/>
              </w:rPr>
            </w:pPr>
            <w:r>
              <w:rPr>
                <w:rFonts w:hint="eastAsia" w:ascii="Times New Roman" w:hAnsi="Times New Roman" w:eastAsia="仿宋_GB2312" w:cs="Times New Roman"/>
                <w:snapToGrid w:val="0"/>
                <w:color w:val="000000"/>
                <w:kern w:val="2"/>
                <w:sz w:val="24"/>
                <w:szCs w:val="24"/>
                <w:highlight w:val="none"/>
                <w:lang w:val="en-US" w:eastAsia="zh-CN" w:bidi="ar-SA"/>
              </w:rPr>
              <w:t>地</w:t>
            </w:r>
          </w:p>
        </w:tc>
        <w:tc>
          <w:tcPr>
            <w:tcW w:w="7368" w:type="dxa"/>
            <w:vAlign w:val="top"/>
          </w:tcPr>
          <w:p w14:paraId="3A2F9820">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600" w:lineRule="exact"/>
              <w:ind w:left="0" w:right="0" w:firstLine="0"/>
              <w:jc w:val="both"/>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禁止任何单位和个人闲置、荒芜耕地。已经办理审批手续的非农业建设占用耕地，一年内不用而又可以耕种并收获的，应当由原耕种该幅耕地的集体或者个人恢复耕种，也可以由用地单位组织耕种；一年以上未动工建设的，应当按照规定缴纳闲置费；连续二年未使用的，经原批准机关批准，由县级以上人民政府无偿收回用地单位的土地使用权，该幅土地原为农民集体所有的，应当交由原农村集体经济组织恢复耕种。</w:t>
            </w:r>
          </w:p>
          <w:p w14:paraId="6B3CC72F">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600" w:lineRule="exact"/>
              <w:ind w:left="0" w:right="0" w:firstLine="0"/>
              <w:jc w:val="both"/>
              <w:rPr>
                <w:highlight w:val="none"/>
              </w:rPr>
            </w:pPr>
            <w:r>
              <w:rPr>
                <w:rFonts w:hint="eastAsia" w:ascii="Times New Roman" w:hAnsi="Times New Roman" w:eastAsia="仿宋_GB2312" w:cs="Times New Roman"/>
                <w:kern w:val="2"/>
                <w:sz w:val="24"/>
                <w:szCs w:val="24"/>
                <w:highlight w:val="none"/>
                <w:lang w:val="en-US" w:eastAsia="zh-CN" w:bidi="ar-SA"/>
                <w14:ligatures w14:val="none"/>
              </w:rPr>
              <w:t>禁止任何单位和个人在国土空间总体规划确定的禁止开垦的范围内从事土地开发活动。</w:t>
            </w:r>
          </w:p>
        </w:tc>
      </w:tr>
    </w:tbl>
    <w:tbl>
      <w:tblPr>
        <w:tblStyle w:val="222"/>
        <w:tblW w:w="8688" w:type="dxa"/>
        <w:tblInd w:w="-19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72"/>
        <w:gridCol w:w="7416"/>
      </w:tblGrid>
      <w:tr w14:paraId="339FF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8" w:hRule="atLeast"/>
        </w:trPr>
        <w:tc>
          <w:tcPr>
            <w:tcW w:w="1272" w:type="dxa"/>
            <w:noWrap w:val="0"/>
            <w:vAlign w:val="top"/>
          </w:tcPr>
          <w:p w14:paraId="3287F67D">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12A21238">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62FD16F5">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04A76464">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584DD5E3">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1F7598FD">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55C8ABD1">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p>
          <w:p w14:paraId="4566BB77">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r>
              <w:rPr>
                <w:rFonts w:hint="eastAsia" w:ascii="Times New Roman" w:hAnsi="Times New Roman" w:eastAsia="仿宋_GB2312" w:cs="Times New Roman"/>
                <w:snapToGrid w:val="0"/>
                <w:color w:val="000000"/>
                <w:kern w:val="2"/>
                <w:sz w:val="24"/>
                <w:szCs w:val="24"/>
                <w:highlight w:val="none"/>
                <w:lang w:val="en-US" w:eastAsia="zh-CN" w:bidi="ar-SA"/>
              </w:rPr>
              <w:t>永</w:t>
            </w:r>
          </w:p>
          <w:p w14:paraId="6C591F33">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r>
              <w:rPr>
                <w:rFonts w:hint="eastAsia" w:ascii="Times New Roman" w:hAnsi="Times New Roman" w:eastAsia="仿宋_GB2312" w:cs="Times New Roman"/>
                <w:snapToGrid w:val="0"/>
                <w:color w:val="000000"/>
                <w:kern w:val="2"/>
                <w:sz w:val="24"/>
                <w:szCs w:val="24"/>
                <w:highlight w:val="none"/>
                <w:lang w:val="en-US" w:eastAsia="zh-CN" w:bidi="ar-SA"/>
              </w:rPr>
              <w:t>久</w:t>
            </w:r>
          </w:p>
          <w:p w14:paraId="6AAC18B1">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r>
              <w:rPr>
                <w:rFonts w:hint="eastAsia" w:ascii="Times New Roman" w:hAnsi="Times New Roman" w:eastAsia="仿宋_GB2312" w:cs="Times New Roman"/>
                <w:snapToGrid w:val="0"/>
                <w:color w:val="000000"/>
                <w:kern w:val="2"/>
                <w:sz w:val="24"/>
                <w:szCs w:val="24"/>
                <w:highlight w:val="none"/>
                <w:lang w:val="en-US" w:eastAsia="zh-CN" w:bidi="ar-SA"/>
              </w:rPr>
              <w:t>基</w:t>
            </w:r>
          </w:p>
          <w:p w14:paraId="42E352F4">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r>
              <w:rPr>
                <w:rFonts w:hint="eastAsia" w:ascii="Times New Roman" w:hAnsi="Times New Roman" w:eastAsia="仿宋_GB2312" w:cs="Times New Roman"/>
                <w:snapToGrid w:val="0"/>
                <w:color w:val="000000"/>
                <w:kern w:val="2"/>
                <w:sz w:val="24"/>
                <w:szCs w:val="24"/>
                <w:highlight w:val="none"/>
                <w:lang w:val="en-US" w:eastAsia="zh-CN" w:bidi="ar-SA"/>
              </w:rPr>
              <w:t>本</w:t>
            </w:r>
          </w:p>
          <w:p w14:paraId="0C40E162">
            <w:pPr>
              <w:pStyle w:val="223"/>
              <w:spacing w:before="78" w:line="232" w:lineRule="auto"/>
              <w:ind w:right="167"/>
              <w:jc w:val="both"/>
              <w:rPr>
                <w:rFonts w:hint="eastAsia" w:ascii="Times New Roman" w:hAnsi="Times New Roman" w:eastAsia="仿宋_GB2312" w:cs="Times New Roman"/>
                <w:snapToGrid w:val="0"/>
                <w:color w:val="000000"/>
                <w:kern w:val="2"/>
                <w:sz w:val="24"/>
                <w:szCs w:val="24"/>
                <w:highlight w:val="none"/>
                <w:lang w:val="en-US" w:eastAsia="zh-CN" w:bidi="ar-SA"/>
              </w:rPr>
            </w:pPr>
            <w:r>
              <w:rPr>
                <w:rFonts w:hint="eastAsia" w:ascii="Times New Roman" w:hAnsi="Times New Roman" w:eastAsia="仿宋_GB2312" w:cs="Times New Roman"/>
                <w:snapToGrid w:val="0"/>
                <w:color w:val="000000"/>
                <w:kern w:val="2"/>
                <w:sz w:val="24"/>
                <w:szCs w:val="24"/>
                <w:highlight w:val="none"/>
                <w:lang w:val="en-US" w:eastAsia="zh-CN" w:bidi="ar-SA"/>
              </w:rPr>
              <w:t>农</w:t>
            </w:r>
          </w:p>
          <w:p w14:paraId="7414B2E2">
            <w:pPr>
              <w:pStyle w:val="223"/>
              <w:spacing w:before="78" w:line="232" w:lineRule="auto"/>
              <w:ind w:right="167"/>
              <w:jc w:val="both"/>
              <w:rPr>
                <w:highlight w:val="none"/>
              </w:rPr>
            </w:pPr>
            <w:r>
              <w:rPr>
                <w:rFonts w:hint="eastAsia" w:ascii="Times New Roman" w:hAnsi="Times New Roman" w:eastAsia="仿宋_GB2312" w:cs="Times New Roman"/>
                <w:snapToGrid w:val="0"/>
                <w:color w:val="000000"/>
                <w:kern w:val="2"/>
                <w:sz w:val="24"/>
                <w:szCs w:val="24"/>
                <w:highlight w:val="none"/>
                <w:lang w:val="en-US" w:eastAsia="zh-CN" w:bidi="ar-SA"/>
              </w:rPr>
              <w:t>田</w:t>
            </w:r>
          </w:p>
        </w:tc>
        <w:tc>
          <w:tcPr>
            <w:tcW w:w="7416" w:type="dxa"/>
            <w:noWrap w:val="0"/>
            <w:vAlign w:val="top"/>
          </w:tcPr>
          <w:p w14:paraId="22629737">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600" w:lineRule="exact"/>
              <w:ind w:left="0" w:right="0" w:firstLine="0"/>
              <w:jc w:val="both"/>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永久永久基本农田不得转为林地、草地、园地等其他农用地及农业设施建设用地。严禁占用永久永久基本农田发展林果业和挖塘养鱼；严禁占用永久永久基本农田种植苗木、草皮等用于绿化装饰以及其他破坏耕作层的植物；严禁占用永久永久基本农田挖湖造景、建设绿化带；严禁新增占用永久永久基本农田建设畜禽养殖设施、水产养殖设施和破坏耕作层的种植业设施。禁止闲置、荒芜、破坏永久永久基本农田行为。</w:t>
            </w:r>
          </w:p>
          <w:p w14:paraId="77E32E67">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600" w:lineRule="exact"/>
              <w:ind w:left="0" w:right="0" w:firstLine="0"/>
              <w:jc w:val="both"/>
              <w:rPr>
                <w:rFonts w:hint="eastAsia" w:ascii="Times New Roman" w:hAnsi="Times New Roman" w:eastAsia="仿宋_GB2312" w:cs="Times New Roman"/>
                <w:kern w:val="2"/>
                <w:sz w:val="24"/>
                <w:szCs w:val="24"/>
                <w:highlight w:val="none"/>
                <w:lang w:val="en-US" w:eastAsia="zh-CN" w:bidi="ar-SA"/>
                <w14:ligatures w14:val="none"/>
              </w:rPr>
            </w:pPr>
            <w:r>
              <w:rPr>
                <w:rFonts w:hint="eastAsia" w:ascii="Times New Roman" w:hAnsi="Times New Roman" w:eastAsia="仿宋_GB2312" w:cs="Times New Roman"/>
                <w:kern w:val="2"/>
                <w:sz w:val="24"/>
                <w:szCs w:val="24"/>
                <w:highlight w:val="none"/>
                <w:lang w:val="en-US" w:eastAsia="zh-CN" w:bidi="ar-SA"/>
                <w14:ligatures w14:val="none"/>
              </w:rPr>
              <w:t>严格永久永久基本农田占用和补划。永久永久基本农田经依法划定后，任何单位和个人不得擅自占用或者改变其用途。国家能源、交通、水利、军事设施等重点项目确实难以避让永久永久基本农田的，涉及农用地转用或者土地征收的，必须经过国务院批准。一般建设项目不得占用永久永久基本农田；重大建设项目选址确实难以避让永久永久基本农田的，要按照“数量不减、质量不降、布局稳定”的要求，在储备区内选择数量相等、质量相当的地块进行补划。</w:t>
            </w:r>
          </w:p>
          <w:p w14:paraId="2A9BA480">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600" w:lineRule="exact"/>
              <w:ind w:left="0" w:right="0" w:firstLine="0"/>
              <w:jc w:val="both"/>
              <w:rPr>
                <w:highlight w:val="none"/>
              </w:rPr>
            </w:pPr>
            <w:r>
              <w:rPr>
                <w:rFonts w:hint="eastAsia" w:ascii="Times New Roman" w:hAnsi="Times New Roman" w:eastAsia="仿宋_GB2312" w:cs="Times New Roman"/>
                <w:kern w:val="2"/>
                <w:sz w:val="24"/>
                <w:szCs w:val="24"/>
                <w:highlight w:val="none"/>
                <w:lang w:val="en-US" w:eastAsia="zh-CN" w:bidi="ar-SA"/>
                <w14:ligatures w14:val="none"/>
              </w:rPr>
              <w:t>非农建设依法占用永久永久基本农田的，建设单位应当将所占用耕地耕作层的土壤用于新开垦的耕地、劣质地或其他耕地的土壤改良。</w:t>
            </w:r>
          </w:p>
        </w:tc>
      </w:tr>
    </w:tbl>
    <w:p w14:paraId="3C165BF5">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83" w:name="_Toc3882"/>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生态保护红线</w:t>
      </w:r>
      <w:bookmarkEnd w:id="83"/>
    </w:p>
    <w:p w14:paraId="5AFF0A4C">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靠山乡无生态保护红线。</w:t>
      </w:r>
    </w:p>
    <w:p w14:paraId="109C7B54">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84" w:name="_Toc10568"/>
      <w:r>
        <w:rPr>
          <w:rFonts w:hint="eastAsia" w:ascii="Times New Roman" w:hAnsi="Times New Roman" w:eastAsia="楷体" w:cs="Times New Roman"/>
          <w:szCs w:val="24"/>
          <w:highlight w:val="none"/>
          <w:lang w:val="en-US" w:eastAsia="zh-CN"/>
        </w:rPr>
        <w:t xml:space="preserve"> 城镇开发边界</w:t>
      </w:r>
      <w:bookmarkEnd w:id="84"/>
    </w:p>
    <w:p w14:paraId="0A73FA74">
      <w:pPr>
        <w:pageBreakBefore w:val="0"/>
        <w:widowControl/>
        <w:wordWrap/>
        <w:overflowPunct/>
        <w:topLinePunct w:val="0"/>
        <w:bidi w:val="0"/>
        <w:spacing w:line="600" w:lineRule="exact"/>
        <w:ind w:firstLine="640"/>
        <w:rPr>
          <w:rFonts w:hint="default" w:ascii="仿宋_GB2312" w:hAnsi="仿宋_GB2312" w:eastAsia="仿宋_GB2312" w:cs="仿宋_GB2312"/>
          <w:kern w:val="2"/>
          <w:sz w:val="32"/>
          <w:szCs w:val="22"/>
          <w:lang w:val="en-US" w:eastAsia="zh-CN" w:bidi="ar-SA"/>
        </w:rPr>
      </w:pPr>
      <w:r>
        <w:rPr>
          <w:rFonts w:hint="eastAsia" w:ascii="楷体" w:hAnsi="楷体" w:eastAsia="楷体" w:cs="楷体"/>
          <w:color w:val="000000"/>
          <w:kern w:val="0"/>
          <w:szCs w:val="32"/>
          <w:highlight w:val="none"/>
          <w:lang w:eastAsia="zh-CN" w:bidi="ar"/>
        </w:rPr>
        <w:t>优化布局。</w:t>
      </w:r>
      <w:r>
        <w:rPr>
          <w:rFonts w:hint="eastAsia" w:ascii="仿宋_GB2312" w:hAnsi="仿宋_GB2312" w:eastAsia="仿宋_GB2312" w:cs="仿宋_GB2312"/>
          <w:kern w:val="2"/>
          <w:sz w:val="32"/>
          <w:szCs w:val="22"/>
          <w:lang w:val="en-US" w:eastAsia="zh-CN" w:bidi="ar-SA"/>
        </w:rPr>
        <w:t>在优先划定耕地和永久永久基本农田的基础上，避让自然灾害高风险区域，结合人口变化趋势和存量建设用地状况，合理划定城镇开发边界。管控乡村建设用地总量，引导形成集约紧凑的乡村空间格局。至2035年，划定靠山乡城镇开发边界扩展倍数为135.86。</w:t>
      </w:r>
    </w:p>
    <w:p w14:paraId="7E97C29A">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楷体" w:hAnsi="楷体" w:eastAsia="楷体" w:cs="楷体"/>
          <w:color w:val="000000"/>
          <w:kern w:val="0"/>
          <w:szCs w:val="32"/>
          <w:highlight w:val="none"/>
          <w:lang w:eastAsia="zh-CN" w:bidi="ar"/>
        </w:rPr>
        <w:t>管控要求。</w:t>
      </w:r>
      <w:r>
        <w:rPr>
          <w:rFonts w:hint="eastAsia" w:ascii="仿宋_GB2312" w:hAnsi="仿宋_GB2312" w:eastAsia="仿宋_GB2312" w:cs="仿宋_GB2312"/>
          <w:kern w:val="2"/>
          <w:sz w:val="32"/>
          <w:szCs w:val="22"/>
          <w:lang w:val="en-US" w:eastAsia="zh-CN" w:bidi="ar-SA"/>
        </w:rPr>
        <w:t>城镇开发边界一经划定，原则上不得调整。因国家重大战略调整、国家重大项目建设、行政区划调整等确需调整的，依法依规按程序进行。积极推进乡村发展向西扩张，充分发挥农业、生态等资源的景观价值和文化价值，引导乡村空间合理布局。国土空间总体规划应严格落实城镇开发边界规模控制要求。</w:t>
      </w:r>
    </w:p>
    <w:tbl>
      <w:tblPr>
        <w:tblStyle w:val="222"/>
        <w:tblW w:w="82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99"/>
      </w:tblGrid>
      <w:tr w14:paraId="3E5CF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8299" w:type="dxa"/>
          </w:tcPr>
          <w:p w14:paraId="0919C164">
            <w:pPr>
              <w:pageBreakBefore w:val="0"/>
              <w:wordWrap/>
              <w:overflowPunct/>
              <w:topLinePunct w:val="0"/>
              <w:bidi w:val="0"/>
              <w:spacing w:before="44" w:line="600" w:lineRule="exact"/>
              <w:jc w:val="center"/>
              <w:rPr>
                <w:rFonts w:hint="default" w:ascii="Times New Roman" w:hAnsi="Times New Roman" w:eastAsia="黑体" w:cs="黑体"/>
                <w:sz w:val="30"/>
                <w:szCs w:val="30"/>
                <w:highlight w:val="none"/>
                <w:lang w:val="en-US" w:eastAsia="zh-CN"/>
              </w:rPr>
            </w:pPr>
            <w:r>
              <w:rPr>
                <w:rFonts w:ascii="Times New Roman" w:hAnsi="Times New Roman" w:eastAsia="黑体" w:cs="黑体"/>
                <w:spacing w:val="-5"/>
                <w:sz w:val="30"/>
                <w:szCs w:val="30"/>
                <w:highlight w:val="none"/>
                <w:lang w:eastAsia="zh-CN"/>
              </w:rPr>
              <w:t>专栏</w:t>
            </w:r>
            <w:r>
              <w:rPr>
                <w:rFonts w:hint="eastAsia" w:ascii="Times New Roman" w:hAnsi="Times New Roman" w:eastAsia="黑体" w:cs="黑体"/>
                <w:spacing w:val="-5"/>
                <w:sz w:val="30"/>
                <w:szCs w:val="30"/>
                <w:highlight w:val="none"/>
                <w:lang w:val="en-US" w:eastAsia="zh-CN"/>
              </w:rPr>
              <w:t>2</w:t>
            </w:r>
            <w:r>
              <w:rPr>
                <w:rFonts w:ascii="Times New Roman" w:hAnsi="Times New Roman" w:eastAsia="黑体" w:cs="黑体"/>
                <w:spacing w:val="-5"/>
                <w:sz w:val="30"/>
                <w:szCs w:val="30"/>
                <w:highlight w:val="none"/>
                <w:lang w:eastAsia="zh-CN"/>
              </w:rPr>
              <w:t>：</w:t>
            </w:r>
            <w:r>
              <w:rPr>
                <w:rFonts w:hint="eastAsia" w:ascii="Times New Roman" w:hAnsi="Times New Roman" w:eastAsia="黑体" w:cs="黑体"/>
                <w:spacing w:val="-5"/>
                <w:sz w:val="30"/>
                <w:szCs w:val="30"/>
                <w:highlight w:val="none"/>
                <w:lang w:eastAsia="zh-CN"/>
              </w:rPr>
              <w:t>城镇开发边界</w:t>
            </w:r>
            <w:r>
              <w:rPr>
                <w:rFonts w:hint="eastAsia" w:ascii="Times New Roman" w:hAnsi="Times New Roman" w:eastAsia="黑体" w:cs="黑体"/>
                <w:spacing w:val="-5"/>
                <w:sz w:val="30"/>
                <w:szCs w:val="30"/>
                <w:highlight w:val="none"/>
                <w:lang w:val="en-US" w:eastAsia="zh-CN"/>
              </w:rPr>
              <w:t>划定和管控规则</w:t>
            </w:r>
          </w:p>
        </w:tc>
      </w:tr>
      <w:tr w14:paraId="04CD8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9" w:hRule="atLeast"/>
        </w:trPr>
        <w:tc>
          <w:tcPr>
            <w:tcW w:w="8299" w:type="dxa"/>
          </w:tcPr>
          <w:p w14:paraId="777EF20E">
            <w:pPr>
              <w:pStyle w:val="223"/>
              <w:keepNext w:val="0"/>
              <w:keepLines w:val="0"/>
              <w:pageBreakBefore w:val="0"/>
              <w:widowControl w:val="0"/>
              <w:kinsoku/>
              <w:wordWrap/>
              <w:overflowPunct/>
              <w:topLinePunct w:val="0"/>
              <w:autoSpaceDE/>
              <w:autoSpaceDN/>
              <w:bidi w:val="0"/>
              <w:adjustRightInd/>
              <w:snapToGrid/>
              <w:spacing w:before="33" w:line="600" w:lineRule="exact"/>
              <w:ind w:left="13" w:firstLine="0" w:firstLineChars="0"/>
              <w:jc w:val="both"/>
              <w:textAlignment w:val="auto"/>
              <w:rPr>
                <w:rFonts w:hint="eastAsia" w:ascii="仿宋_GB2312" w:hAnsi="仿宋_GB2312" w:eastAsia="仿宋_GB2312" w:cs="仿宋_GB2312"/>
                <w:spacing w:val="-4"/>
                <w:sz w:val="24"/>
                <w:szCs w:val="24"/>
                <w:highlight w:val="none"/>
                <w:lang w:eastAsia="zh-CN"/>
              </w:rPr>
            </w:pPr>
            <w:r>
              <w:rPr>
                <w:rFonts w:hint="eastAsia" w:ascii="仿宋_GB2312" w:hAnsi="仿宋_GB2312" w:eastAsia="仿宋_GB2312" w:cs="仿宋_GB2312"/>
                <w:spacing w:val="-4"/>
                <w:sz w:val="24"/>
                <w:szCs w:val="24"/>
                <w:highlight w:val="none"/>
                <w:lang w:eastAsia="zh-CN"/>
              </w:rPr>
              <w:t>1.强化城镇开发边界对开发建设行为的刚性约束作用，实行建设用地总量与强度双控，框定总量，限定容量，防止城镇盲目扩张和无序蔓延。未经依法批准，不得在城镇开发边界外设立各类开发区和城镇新区。城镇开发边界内各类建设活动严格实行用途管制，按照规划用途依法办理有关手续、并加强与水体保护线、绿地系统线、基础设施建设控制线、历史文化保护线等协同管控。城镇建设和发展应避让地质灾害风险区、蓄泄洪区等不适宜建设区域，不得违法违规侵占河道、湖面、滩地。</w:t>
            </w:r>
          </w:p>
          <w:p w14:paraId="2EF8CE50">
            <w:pPr>
              <w:pStyle w:val="223"/>
              <w:keepNext w:val="0"/>
              <w:keepLines w:val="0"/>
              <w:pageBreakBefore w:val="0"/>
              <w:widowControl w:val="0"/>
              <w:kinsoku/>
              <w:wordWrap/>
              <w:overflowPunct/>
              <w:topLinePunct w:val="0"/>
              <w:autoSpaceDE/>
              <w:autoSpaceDN/>
              <w:bidi w:val="0"/>
              <w:adjustRightInd/>
              <w:snapToGrid/>
              <w:spacing w:before="33" w:line="600" w:lineRule="exact"/>
              <w:ind w:left="13" w:firstLine="0" w:firstLineChars="0"/>
              <w:jc w:val="both"/>
              <w:textAlignment w:val="auto"/>
              <w:rPr>
                <w:rFonts w:hint="eastAsia" w:ascii="仿宋_GB2312" w:hAnsi="仿宋_GB2312" w:eastAsia="仿宋_GB2312" w:cs="仿宋_GB2312"/>
                <w:spacing w:val="-4"/>
                <w:sz w:val="24"/>
                <w:szCs w:val="24"/>
                <w:highlight w:val="none"/>
                <w:lang w:eastAsia="zh-CN"/>
              </w:rPr>
            </w:pPr>
            <w:r>
              <w:rPr>
                <w:rFonts w:hint="eastAsia" w:ascii="仿宋_GB2312" w:hAnsi="仿宋_GB2312" w:eastAsia="仿宋_GB2312" w:cs="仿宋_GB2312"/>
                <w:spacing w:val="-4"/>
                <w:sz w:val="24"/>
                <w:szCs w:val="24"/>
                <w:highlight w:val="none"/>
                <w:lang w:eastAsia="zh-CN"/>
              </w:rPr>
              <w:t>2.城镇开发边界内集中连片分布的永久永久基本农田和生态保护红线，可以“开天窗”方式保留。</w:t>
            </w:r>
          </w:p>
          <w:p w14:paraId="01ECB30F">
            <w:pPr>
              <w:pStyle w:val="223"/>
              <w:keepNext w:val="0"/>
              <w:keepLines w:val="0"/>
              <w:pageBreakBefore w:val="0"/>
              <w:widowControl w:val="0"/>
              <w:kinsoku/>
              <w:wordWrap/>
              <w:overflowPunct/>
              <w:topLinePunct w:val="0"/>
              <w:autoSpaceDE/>
              <w:autoSpaceDN/>
              <w:bidi w:val="0"/>
              <w:adjustRightInd/>
              <w:snapToGrid/>
              <w:spacing w:before="33" w:line="600" w:lineRule="exact"/>
              <w:ind w:left="13" w:firstLine="0" w:firstLineChars="0"/>
              <w:jc w:val="both"/>
              <w:textAlignment w:val="auto"/>
              <w:rPr>
                <w:rFonts w:hint="eastAsia" w:ascii="Times New Roman" w:hAnsi="Times New Roman"/>
                <w:highlight w:val="none"/>
                <w:lang w:eastAsia="zh-CN"/>
              </w:rPr>
            </w:pPr>
            <w:r>
              <w:rPr>
                <w:rFonts w:hint="eastAsia" w:ascii="仿宋_GB2312" w:hAnsi="仿宋_GB2312" w:eastAsia="仿宋_GB2312" w:cs="仿宋_GB2312"/>
                <w:spacing w:val="-4"/>
                <w:sz w:val="24"/>
                <w:szCs w:val="24"/>
                <w:highlight w:val="none"/>
                <w:lang w:eastAsia="zh-CN"/>
              </w:rPr>
              <w:t>3.在城镇开发边界内实施战略留白，为长远发展谋划预留战略空间。充分发挥农业、生态等资源的景观价值和文化价值，引导城镇空间合理布局。</w:t>
            </w:r>
          </w:p>
        </w:tc>
      </w:tr>
    </w:tbl>
    <w:p w14:paraId="098228EA">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default" w:ascii="Times New Roman" w:hAnsi="Times New Roman"/>
          <w:highlight w:val="none"/>
          <w:lang w:val="en-US" w:eastAsia="zh-CN"/>
        </w:rPr>
      </w:pPr>
      <w:bookmarkStart w:id="85" w:name="_Toc3061"/>
      <w:r>
        <w:rPr>
          <w:rFonts w:hint="eastAsia" w:ascii="Times New Roman" w:hAnsi="Times New Roman"/>
          <w:highlight w:val="none"/>
          <w:lang w:val="en-US" w:eastAsia="zh-CN"/>
        </w:rPr>
        <w:t xml:space="preserve"> </w:t>
      </w:r>
      <w:bookmarkStart w:id="86" w:name="_Toc23531"/>
      <w:r>
        <w:rPr>
          <w:rFonts w:hint="eastAsia" w:ascii="Times New Roman" w:hAnsi="Times New Roman"/>
          <w:highlight w:val="none"/>
          <w:lang w:val="en-US" w:eastAsia="zh-CN"/>
        </w:rPr>
        <w:t>区域协调发展</w:t>
      </w:r>
      <w:bookmarkEnd w:id="85"/>
      <w:bookmarkEnd w:id="86"/>
    </w:p>
    <w:p w14:paraId="7857BE35">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87" w:name="_Toc616"/>
      <w:bookmarkStart w:id="88" w:name="_Toc30660"/>
      <w:r>
        <w:rPr>
          <w:rFonts w:hint="eastAsia" w:ascii="Times New Roman" w:hAnsi="Times New Roman" w:eastAsia="楷体" w:cs="Times New Roman"/>
          <w:szCs w:val="24"/>
          <w:highlight w:val="none"/>
          <w:lang w:val="en-US" w:eastAsia="zh-CN"/>
        </w:rPr>
        <w:t xml:space="preserve"> 乡村高质量发展</w:t>
      </w:r>
      <w:bookmarkEnd w:id="87"/>
      <w:bookmarkEnd w:id="88"/>
    </w:p>
    <w:p w14:paraId="296401A9">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根据《绥棱县国民经济和社会发展第十四个五年规划和2035年远景目标纲要》，绥棱县坚持农业农村优先发展，加快农业大县向现代农业强县转变，推进完善现代化交通基础设施建设，继续扎实推进生态文明建设。</w:t>
      </w:r>
    </w:p>
    <w:p w14:paraId="44427BDD">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val="en-US" w:eastAsia="zh-CN" w:bidi="ar"/>
        </w:rPr>
        <w:t>用地方面。</w:t>
      </w:r>
      <w:r>
        <w:rPr>
          <w:rFonts w:hint="eastAsia" w:ascii="仿宋_GB2312" w:hAnsi="仿宋_GB2312" w:eastAsia="仿宋_GB2312" w:cs="仿宋_GB2312"/>
          <w:kern w:val="2"/>
          <w:sz w:val="32"/>
          <w:szCs w:val="22"/>
          <w:lang w:val="en-US" w:eastAsia="zh-CN" w:bidi="ar-SA"/>
        </w:rPr>
        <w:t>靠山乡地处绥棱县西南部，距离县城较近，与绥棱县的联系较强，促进了绥棱县与靠山乡的经济流通。</w:t>
      </w:r>
    </w:p>
    <w:p w14:paraId="2F4AA59B">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val="en-US" w:eastAsia="zh-CN" w:bidi="ar"/>
        </w:rPr>
        <w:t>产业方面。</w:t>
      </w:r>
      <w:r>
        <w:rPr>
          <w:rFonts w:hint="eastAsia" w:ascii="仿宋_GB2312" w:hAnsi="仿宋_GB2312" w:eastAsia="仿宋_GB2312" w:cs="仿宋_GB2312"/>
          <w:kern w:val="2"/>
          <w:sz w:val="32"/>
          <w:szCs w:val="22"/>
          <w:lang w:val="en-US" w:eastAsia="zh-CN" w:bidi="ar-SA"/>
        </w:rPr>
        <w:t>强化靠山乡农业科技和装备支撑，提升农产品初加工和深加工质量、促进全产业链安全稳定，推进农业绿色发展全过程转型、全链条升级以及全环节覆盖，完善粮食与生态安全利益补偿机制，不断提高粮食和重要农产品供给保障水平，为绥棱县提供农产品支撑。</w:t>
      </w:r>
    </w:p>
    <w:p w14:paraId="6021C194">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val="en-US" w:eastAsia="zh-CN" w:bidi="ar"/>
        </w:rPr>
        <w:t>交通方面。</w:t>
      </w:r>
      <w:r>
        <w:rPr>
          <w:rFonts w:hint="eastAsia" w:ascii="仿宋_GB2312" w:hAnsi="仿宋_GB2312" w:eastAsia="仿宋_GB2312" w:cs="仿宋_GB2312"/>
          <w:kern w:val="2"/>
          <w:sz w:val="32"/>
          <w:szCs w:val="22"/>
          <w:lang w:val="en-US" w:eastAsia="zh-CN" w:bidi="ar-SA"/>
        </w:rPr>
        <w:t>推进靠山乡对外交通廊道国道333、县道167的升级改造；完善公路养护体系，进一步提高公路养护水平。</w:t>
      </w:r>
    </w:p>
    <w:p w14:paraId="55E18692">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val="en-US" w:eastAsia="zh-CN" w:bidi="ar"/>
        </w:rPr>
        <w:t>生态方面。</w:t>
      </w:r>
      <w:r>
        <w:rPr>
          <w:rFonts w:hint="eastAsia" w:ascii="仿宋_GB2312" w:hAnsi="仿宋_GB2312" w:eastAsia="仿宋_GB2312" w:cs="仿宋_GB2312"/>
          <w:kern w:val="2"/>
          <w:sz w:val="32"/>
          <w:szCs w:val="22"/>
          <w:lang w:val="en-US" w:eastAsia="zh-CN" w:bidi="ar-SA"/>
        </w:rPr>
        <w:t>坚持生态优先，加强对努敏河和克音河流域的生态治理以及湿地的生态保护和高质量发展，建立乡域自然保护地体系和水渠生态保护廊道，确保区域生态安全，筑牢绥棱县的生态屏障。</w:t>
      </w:r>
    </w:p>
    <w:p w14:paraId="52C62CAF">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89" w:name="_Toc8146"/>
      <w:bookmarkStart w:id="90" w:name="_Toc25910"/>
      <w:r>
        <w:rPr>
          <w:rFonts w:hint="eastAsia" w:ascii="Times New Roman" w:hAnsi="Times New Roman" w:eastAsia="楷体" w:cs="Times New Roman"/>
          <w:szCs w:val="24"/>
          <w:highlight w:val="none"/>
          <w:lang w:val="en-US" w:eastAsia="zh-CN"/>
        </w:rPr>
        <w:t xml:space="preserve"> 联通周边乡村协调发展</w:t>
      </w:r>
      <w:bookmarkEnd w:id="89"/>
      <w:bookmarkEnd w:id="90"/>
    </w:p>
    <w:p w14:paraId="3DCC59AE">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根据《绥棱县国民经济和社会发展第十四个五年规划和2035年远景目标纲要》，加强靠山乡与县城的经济联系，打造现代农业示范区。规划靠山乡建成以农业为依托，以技术为手段延长产业链的农产品加工产业，稳步提升粮食综合生产能力，打造生态农业生产基地和农副产品加工基地，并依托电商销售平台等形式建立产销结合的稳定销售渠道，推动农业产业在各个乡村的融合发展。</w:t>
      </w:r>
    </w:p>
    <w:p w14:paraId="4BC52AD0">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91" w:name="_Toc1711"/>
      <w:bookmarkStart w:id="92" w:name="_Toc1083"/>
      <w:bookmarkStart w:id="93" w:name="_Toc7890"/>
      <w:bookmarkStart w:id="94" w:name="_Toc31406"/>
      <w:r>
        <w:rPr>
          <w:rFonts w:hint="eastAsia" w:ascii="Times New Roman" w:hAnsi="Times New Roman"/>
          <w:highlight w:val="none"/>
          <w:lang w:val="en-US" w:eastAsia="zh-CN"/>
        </w:rPr>
        <w:t xml:space="preserve"> </w:t>
      </w:r>
      <w:bookmarkStart w:id="95" w:name="_Toc21655"/>
      <w:r>
        <w:rPr>
          <w:rFonts w:hint="eastAsia" w:ascii="Times New Roman" w:hAnsi="Times New Roman"/>
          <w:highlight w:val="none"/>
          <w:lang w:val="en-US" w:eastAsia="zh-CN"/>
        </w:rPr>
        <w:t>总体空间格局</w:t>
      </w:r>
      <w:bookmarkEnd w:id="91"/>
      <w:bookmarkEnd w:id="92"/>
      <w:bookmarkEnd w:id="93"/>
      <w:bookmarkEnd w:id="94"/>
      <w:bookmarkEnd w:id="95"/>
    </w:p>
    <w:p w14:paraId="70C2A6D1">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96" w:name="_Toc9274"/>
      <w:bookmarkStart w:id="97" w:name="_Toc31074"/>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国土空间格局</w:t>
      </w:r>
      <w:bookmarkEnd w:id="96"/>
      <w:bookmarkEnd w:id="97"/>
    </w:p>
    <w:p w14:paraId="4B4CEFD6">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遵循自然地理格局和生态经济社会发展规律，强化生态屏障构筑与生态廊道建设，保障国家粮食安全，以“点轴带动、中部集聚、生态修复、林地保护”为导向，</w:t>
      </w:r>
      <w:bookmarkStart w:id="98" w:name="_Hlk174530983"/>
      <w:r>
        <w:rPr>
          <w:rFonts w:hint="eastAsia" w:ascii="仿宋_GB2312" w:hAnsi="仿宋_GB2312" w:eastAsia="仿宋_GB2312" w:cs="仿宋_GB2312"/>
          <w:kern w:val="2"/>
          <w:sz w:val="32"/>
          <w:szCs w:val="22"/>
          <w:lang w:val="en-US" w:eastAsia="zh-CN" w:bidi="ar-SA"/>
        </w:rPr>
        <w:t>形成“一核一轴一区三廊”的国土空间开发保护格局。</w:t>
      </w:r>
    </w:p>
    <w:bookmarkEnd w:id="98"/>
    <w:p w14:paraId="5323548D">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“一核”是指靠山乡原乡政府驻地，强化乡域人口、产业空间集聚，打造靠山乡域发展核心。</w:t>
      </w:r>
    </w:p>
    <w:p w14:paraId="31D2866A">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“一轴”是指横向沿国道333的胜利—光芒—双合—七井的乡村功能联系轴，向外对接上集镇、海伦市海南乡。</w:t>
      </w:r>
    </w:p>
    <w:p w14:paraId="01D2834B">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bookmarkStart w:id="99" w:name="_Hlk174531009"/>
      <w:r>
        <w:rPr>
          <w:rFonts w:hint="eastAsia" w:ascii="仿宋_GB2312" w:hAnsi="仿宋_GB2312" w:eastAsia="仿宋_GB2312" w:cs="仿宋_GB2312"/>
          <w:kern w:val="2"/>
          <w:sz w:val="32"/>
          <w:szCs w:val="22"/>
          <w:lang w:val="en-US" w:eastAsia="zh-CN" w:bidi="ar-SA"/>
        </w:rPr>
        <w:t>“一区”是指黑土农业生产区。</w:t>
      </w:r>
    </w:p>
    <w:p w14:paraId="0AA8B1CA">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“三廊”是指努敏河、克音河以及九江沟形成的生态廊道</w:t>
      </w:r>
      <w:bookmarkEnd w:id="99"/>
      <w:bookmarkStart w:id="100" w:name="bookmark27"/>
      <w:bookmarkEnd w:id="100"/>
      <w:r>
        <w:rPr>
          <w:rFonts w:hint="eastAsia" w:ascii="仿宋_GB2312" w:hAnsi="仿宋_GB2312" w:eastAsia="仿宋_GB2312" w:cs="仿宋_GB2312"/>
          <w:kern w:val="2"/>
          <w:sz w:val="32"/>
          <w:szCs w:val="22"/>
          <w:lang w:val="en-US" w:eastAsia="zh-CN" w:bidi="ar-SA"/>
        </w:rPr>
        <w:t>。</w:t>
      </w:r>
    </w:p>
    <w:p w14:paraId="27FA069D">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default" w:ascii="Times New Roman" w:hAnsi="Times New Roman"/>
          <w:highlight w:val="none"/>
          <w:lang w:val="en-US" w:eastAsia="zh-CN"/>
        </w:rPr>
      </w:pPr>
      <w:bookmarkStart w:id="101" w:name="_Toc4858"/>
      <w:r>
        <w:rPr>
          <w:rFonts w:hint="eastAsia" w:ascii="Times New Roman" w:hAnsi="Times New Roman"/>
          <w:highlight w:val="none"/>
          <w:lang w:val="en-US" w:eastAsia="zh-CN"/>
        </w:rPr>
        <w:t xml:space="preserve"> </w:t>
      </w:r>
      <w:bookmarkStart w:id="102" w:name="_Toc6335"/>
      <w:r>
        <w:rPr>
          <w:rFonts w:hint="eastAsia" w:ascii="Times New Roman" w:hAnsi="Times New Roman"/>
          <w:highlight w:val="none"/>
          <w:lang w:val="en-US" w:eastAsia="zh-CN"/>
        </w:rPr>
        <w:t>规划分区</w:t>
      </w:r>
      <w:bookmarkEnd w:id="101"/>
      <w:bookmarkEnd w:id="102"/>
    </w:p>
    <w:p w14:paraId="4A17B5FD">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03" w:name="_Toc30509"/>
      <w:bookmarkStart w:id="104" w:name="_Toc21809"/>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规划分区</w:t>
      </w:r>
      <w:bookmarkEnd w:id="103"/>
      <w:bookmarkEnd w:id="104"/>
    </w:p>
    <w:p w14:paraId="789CDF82">
      <w:pPr>
        <w:pageBreakBefore w:val="0"/>
        <w:widowControl/>
        <w:wordWrap/>
        <w:overflowPunct/>
        <w:topLinePunct w:val="0"/>
        <w:bidi w:val="0"/>
        <w:spacing w:line="600" w:lineRule="exact"/>
        <w:ind w:firstLine="640"/>
        <w:rPr>
          <w:rFonts w:hint="default"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加强底线管控、全域统筹的思路，划分生态控制区、农田保护区、城镇发展区、乡村发展区、矿产能源发展区五类规划分区。靠山乡不涉及生态保护区。生态控制区主要包括生态保护红线以外的公益林、河流和其他自然保留地。乡村发展区包括村庄建设区、一般农业区、林业发展区和牧业发展区。</w:t>
      </w:r>
    </w:p>
    <w:p w14:paraId="1E20ECAE">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default" w:ascii="Times New Roman" w:hAnsi="Times New Roman"/>
          <w:highlight w:val="none"/>
          <w:lang w:val="en-US" w:eastAsia="zh-CN"/>
        </w:rPr>
      </w:pPr>
      <w:bookmarkStart w:id="105" w:name="_Toc9007"/>
      <w:r>
        <w:rPr>
          <w:rFonts w:hint="eastAsia" w:ascii="Times New Roman" w:hAnsi="Times New Roman"/>
          <w:highlight w:val="none"/>
          <w:lang w:val="en-US" w:eastAsia="zh-CN"/>
        </w:rPr>
        <w:t xml:space="preserve"> </w:t>
      </w:r>
      <w:bookmarkStart w:id="106" w:name="_Toc27122"/>
      <w:r>
        <w:rPr>
          <w:rFonts w:hint="eastAsia" w:ascii="Times New Roman" w:hAnsi="Times New Roman"/>
          <w:highlight w:val="none"/>
          <w:lang w:val="en-US" w:eastAsia="zh-CN"/>
        </w:rPr>
        <w:t>用地用途和结构调整</w:t>
      </w:r>
      <w:bookmarkEnd w:id="105"/>
      <w:bookmarkEnd w:id="106"/>
    </w:p>
    <w:p w14:paraId="711724BE">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07" w:name="_Toc6025"/>
      <w:r>
        <w:rPr>
          <w:rFonts w:hint="eastAsia" w:ascii="Times New Roman" w:hAnsi="Times New Roman" w:eastAsia="楷体" w:cs="Times New Roman"/>
          <w:szCs w:val="24"/>
          <w:highlight w:val="none"/>
          <w:lang w:val="en-US" w:eastAsia="zh-CN"/>
        </w:rPr>
        <w:t xml:space="preserve"> 国土用途结构调整</w:t>
      </w:r>
      <w:bookmarkEnd w:id="107"/>
    </w:p>
    <w:p w14:paraId="1A975EA4">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楷体" w:hAnsi="楷体" w:eastAsia="楷体" w:cs="楷体"/>
          <w:color w:val="000000"/>
          <w:kern w:val="0"/>
          <w:szCs w:val="32"/>
          <w:highlight w:val="none"/>
          <w:lang w:eastAsia="zh-CN" w:bidi="ar"/>
        </w:rPr>
        <w:t>稳定农林用地与生态用地。</w:t>
      </w:r>
      <w:r>
        <w:rPr>
          <w:rFonts w:hint="eastAsia" w:ascii="仿宋_GB2312" w:hAnsi="仿宋_GB2312" w:eastAsia="仿宋_GB2312" w:cs="仿宋_GB2312"/>
          <w:kern w:val="2"/>
          <w:sz w:val="32"/>
          <w:szCs w:val="22"/>
          <w:lang w:val="en-US" w:eastAsia="zh-CN" w:bidi="ar-SA"/>
        </w:rPr>
        <w:t>严格控制各类建设占用耕地，提高优质耕地面积与比重。加强其他土地开发的生态影响评价，严禁在生态脆弱和环境敏感地区进行土地开发。</w:t>
      </w:r>
    </w:p>
    <w:p w14:paraId="5F611A91">
      <w:pPr>
        <w:keepNext w:val="0"/>
        <w:keepLines w:val="0"/>
        <w:pageBreakBefore w:val="0"/>
        <w:widowControl/>
        <w:kinsoku w:val="0"/>
        <w:wordWrap/>
        <w:overflowPunct/>
        <w:topLinePunct w:val="0"/>
        <w:autoSpaceDE w:val="0"/>
        <w:autoSpaceDN w:val="0"/>
        <w:bidi w:val="0"/>
        <w:adjustRightInd w:val="0"/>
        <w:snapToGrid w:val="0"/>
        <w:spacing w:before="46"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控制建设用地总量与强度。</w:t>
      </w:r>
      <w:r>
        <w:rPr>
          <w:rFonts w:hint="eastAsia" w:ascii="仿宋_GB2312" w:hAnsi="仿宋_GB2312" w:eastAsia="仿宋_GB2312" w:cs="仿宋_GB2312"/>
          <w:kern w:val="2"/>
          <w:sz w:val="32"/>
          <w:szCs w:val="22"/>
          <w:lang w:val="en-US" w:eastAsia="zh-CN" w:bidi="ar-SA"/>
        </w:rPr>
        <w:t>优化城乡建设用地内部结构，适度增加乡村建设用地规模，保障乡村振兴发展用地需求。</w:t>
      </w:r>
    </w:p>
    <w:p w14:paraId="439566C8">
      <w:pPr>
        <w:pageBreakBefore w:val="0"/>
        <w:wordWrap/>
        <w:overflowPunct/>
        <w:topLinePunct w:val="0"/>
        <w:bidi w:val="0"/>
        <w:spacing w:line="600" w:lineRule="exact"/>
        <w:ind w:left="0" w:leftChars="0" w:firstLine="640" w:firstLineChars="200"/>
        <w:rPr>
          <w:rFonts w:hint="eastAsia" w:ascii="Times New Roman" w:hAnsi="Times New Roman" w:eastAsia="仿宋GB2312" w:cs="仿宋"/>
          <w:color w:val="000000"/>
          <w:kern w:val="0"/>
          <w:szCs w:val="32"/>
          <w:highlight w:val="none"/>
          <w:lang w:bidi="ar"/>
        </w:rPr>
      </w:pPr>
      <w:r>
        <w:rPr>
          <w:rFonts w:hint="eastAsia" w:ascii="Times New Roman" w:hAnsi="Times New Roman" w:eastAsia="楷体" w:cs="仿宋"/>
          <w:color w:val="000000"/>
          <w:kern w:val="0"/>
          <w:szCs w:val="32"/>
          <w:highlight w:val="none"/>
          <w:lang w:eastAsia="zh-CN" w:bidi="ar"/>
        </w:rPr>
        <w:t>优化乡村用地结构。</w:t>
      </w:r>
      <w:r>
        <w:rPr>
          <w:rFonts w:hint="eastAsia" w:ascii="仿宋_GB2312" w:hAnsi="仿宋_GB2312" w:eastAsia="仿宋_GB2312" w:cs="仿宋_GB2312"/>
          <w:kern w:val="2"/>
          <w:sz w:val="32"/>
          <w:szCs w:val="22"/>
          <w:lang w:val="en-US" w:eastAsia="zh-CN" w:bidi="ar-SA"/>
        </w:rPr>
        <w:t>以提升人口、经济和产业承载能力为目标，稳定物流仓储等生产空间，补齐民生设施短板，提高住宅用地、公共设施用地等比例，满足居民休闲游憩需求。</w:t>
      </w:r>
    </w:p>
    <w:p w14:paraId="69B08B80">
      <w:pPr>
        <w:pStyle w:val="3"/>
        <w:keepNext/>
        <w:keepLines/>
        <w:pageBreakBefore w:val="0"/>
        <w:widowControl w:val="0"/>
        <w:numPr>
          <w:ilvl w:val="0"/>
          <w:numId w:val="5"/>
        </w:numPr>
        <w:kinsoku/>
        <w:wordWrap/>
        <w:overflowPunct/>
        <w:topLinePunct w:val="0"/>
        <w:autoSpaceDE/>
        <w:autoSpaceDN/>
        <w:bidi w:val="0"/>
        <w:adjustRightInd/>
        <w:snapToGrid/>
        <w:spacing w:before="0" w:after="0" w:line="600" w:lineRule="exact"/>
        <w:jc w:val="center"/>
        <w:textAlignment w:val="auto"/>
        <w:rPr>
          <w:rFonts w:hint="default" w:ascii="Times New Roman" w:hAnsi="Times New Roman" w:eastAsia="方正小标宋简体" w:cs="方正小标宋简体"/>
          <w:b w:val="0"/>
          <w:bCs w:val="0"/>
          <w:sz w:val="36"/>
          <w:szCs w:val="36"/>
          <w:highlight w:val="none"/>
          <w:lang w:val="en-US" w:eastAsia="zh-CN"/>
        </w:rPr>
      </w:pPr>
      <w:bookmarkStart w:id="108" w:name="_Toc25798"/>
      <w:bookmarkStart w:id="109" w:name="_Toc23535"/>
      <w:r>
        <w:rPr>
          <w:rFonts w:hint="eastAsia" w:ascii="Times New Roman" w:hAnsi="Times New Roman" w:eastAsia="方正小标宋简体" w:cs="方正小标宋简体"/>
          <w:b w:val="0"/>
          <w:bCs w:val="0"/>
          <w:sz w:val="36"/>
          <w:szCs w:val="36"/>
          <w:highlight w:val="none"/>
          <w:lang w:val="en-US" w:eastAsia="zh-CN"/>
        </w:rPr>
        <w:t>空间布局优化</w:t>
      </w:r>
      <w:bookmarkEnd w:id="108"/>
      <w:bookmarkEnd w:id="109"/>
    </w:p>
    <w:p w14:paraId="525DF93B">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110" w:name="_Toc4428"/>
      <w:bookmarkStart w:id="111" w:name="_Toc27123"/>
      <w:bookmarkStart w:id="112" w:name="_Toc12969"/>
      <w:bookmarkStart w:id="113" w:name="_Toc27094"/>
      <w:r>
        <w:rPr>
          <w:rFonts w:hint="eastAsia" w:ascii="Times New Roman" w:hAnsi="Times New Roman"/>
          <w:highlight w:val="none"/>
          <w:lang w:val="en-US" w:eastAsia="zh-CN"/>
        </w:rPr>
        <w:t xml:space="preserve"> </w:t>
      </w:r>
      <w:bookmarkStart w:id="114" w:name="_Toc4782"/>
      <w:r>
        <w:rPr>
          <w:rFonts w:hint="eastAsia" w:ascii="Times New Roman" w:hAnsi="Times New Roman"/>
          <w:highlight w:val="none"/>
          <w:lang w:val="en-US" w:eastAsia="zh-CN"/>
        </w:rPr>
        <w:t>农业生产空间</w:t>
      </w:r>
      <w:bookmarkEnd w:id="110"/>
      <w:bookmarkEnd w:id="111"/>
      <w:bookmarkEnd w:id="112"/>
      <w:bookmarkEnd w:id="113"/>
      <w:bookmarkEnd w:id="114"/>
    </w:p>
    <w:p w14:paraId="69496672">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15" w:name="_Toc25426"/>
      <w:bookmarkStart w:id="116" w:name="_Toc14937"/>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保障优势农业生产格局</w:t>
      </w:r>
      <w:bookmarkEnd w:id="115"/>
      <w:bookmarkEnd w:id="116"/>
    </w:p>
    <w:p w14:paraId="3D5E4307">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立足于确保粮食安全，以自然资源为依托，结合农业生产条件与特点，加强耕地稳定性和对永久永久基本农田的保护，致力于农业用地布局优化，重点推进耕地建设，构建多方位农业发展格局，大力发展特色绿色农业。</w:t>
      </w:r>
    </w:p>
    <w:p w14:paraId="686FBF0C">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建立以高质量农作物为主的“两区一园一带”农业生产格局，分别为绿色水田生产区、高品质旱田生产区、新型养殖模式示范园、城郊精品蔬菜生产带。</w:t>
      </w:r>
    </w:p>
    <w:p w14:paraId="7DF510F5">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绿色水田生产区：包括九江村、靠山村的大部分耕地以及富国村水域周边耕地，以克音河、努敏河流域丰富的水资源为依托，发展绿色有机水稻。</w:t>
      </w:r>
    </w:p>
    <w:p w14:paraId="33666B8D">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高品质旱田生产区：包括靠山乡国道333南北两侧各村距离水域较远的旱地，主要种植大豆、玉米等作物。</w:t>
      </w:r>
    </w:p>
    <w:p w14:paraId="6B84E4A8">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新型养殖模式示范园：包括光芒村南、北部的养殖场和原乡政府驻地的养殖基地，发展禽类养殖，形成规模化养殖示范园。</w:t>
      </w:r>
    </w:p>
    <w:p w14:paraId="2819394E">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城郊精品蔬菜生产带：包括胜利村、双合村、富国村靠近绥棱县的部分城郊结合地区，以蔬菜供应为主，促进城郊区域经济发展。提升设施农业发展质量，加强对大棚果蔬的建设，发展高标准、高品质、低能耗、多功能的果蔬生产设施和育苗设施，将新型的先进优质大棚推广使用，重点抓好温室、大棚、中小棚等保护区的反季节生产，科学评估各类设施农业用地规模，加强设施农业用地监管。</w:t>
      </w:r>
    </w:p>
    <w:p w14:paraId="12D8CA9C">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17" w:name="_Toc3874"/>
      <w:bookmarkStart w:id="118" w:name="_Toc32693"/>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实施耕地“三位一体”保护</w:t>
      </w:r>
      <w:bookmarkEnd w:id="117"/>
      <w:bookmarkEnd w:id="118"/>
    </w:p>
    <w:p w14:paraId="47ACFEF3">
      <w:pPr>
        <w:keepNext w:val="0"/>
        <w:keepLines w:val="0"/>
        <w:pageBreakBefore w:val="0"/>
        <w:widowControl/>
        <w:kinsoku w:val="0"/>
        <w:wordWrap/>
        <w:overflowPunct/>
        <w:topLinePunct w:val="0"/>
        <w:autoSpaceDE w:val="0"/>
        <w:autoSpaceDN w:val="0"/>
        <w:bidi w:val="0"/>
        <w:adjustRightInd w:val="0"/>
        <w:snapToGrid w:val="0"/>
        <w:spacing w:before="6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耕地数量。</w:t>
      </w:r>
      <w:r>
        <w:rPr>
          <w:rFonts w:hint="eastAsia" w:ascii="仿宋_GB2312" w:hAnsi="仿宋_GB2312" w:eastAsia="仿宋_GB2312" w:cs="仿宋_GB2312"/>
          <w:kern w:val="2"/>
          <w:sz w:val="32"/>
          <w:szCs w:val="22"/>
          <w:lang w:val="en-US" w:eastAsia="zh-CN" w:bidi="ar-SA"/>
        </w:rPr>
        <w:t>至2035年，将靠山乡的耕地保有量不低于7305.05公顷作为规划期内必须守住的保护红线任务。严格落实耕地占补平衡，实施耕地种植用途管控，加强永久永久基本农田保护和建设，科学有序实施后备资源开发和战略储备。乡党委、乡政府全面落实耕地保护与粮食安全责任制。对耕地保护责任目标完成情况进行定期考核，实行耕地保护党政同责，终身追责。</w:t>
      </w:r>
    </w:p>
    <w:p w14:paraId="5E206B78">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耕地生态。</w:t>
      </w:r>
      <w:r>
        <w:rPr>
          <w:rFonts w:hint="eastAsia" w:ascii="仿宋_GB2312" w:hAnsi="仿宋_GB2312" w:eastAsia="仿宋_GB2312" w:cs="仿宋_GB2312"/>
          <w:kern w:val="2"/>
          <w:sz w:val="32"/>
          <w:szCs w:val="22"/>
          <w:lang w:val="en-US" w:eastAsia="zh-CN" w:bidi="ar-SA"/>
        </w:rPr>
        <w:t>推动用地与养地相结合，积极推行农业轮作制度，推广大豆、玉米轮作等绿色、高产、优质、综合配套技术模式；稳步推进不适宜耕种的退耕还林工程，实施保护性耕作，加速耕地退化治理；深入实施土壤污染防治行动计划，落实对农药残留和农膜等的治理对策，加大治理力度，促进土壤污染防治与修复技术的应用。</w:t>
      </w:r>
    </w:p>
    <w:p w14:paraId="703CBAE3">
      <w:pPr>
        <w:keepNext w:val="0"/>
        <w:keepLines w:val="0"/>
        <w:pageBreakBefore w:val="0"/>
        <w:widowControl/>
        <w:kinsoku w:val="0"/>
        <w:wordWrap/>
        <w:overflowPunct/>
        <w:topLinePunct w:val="0"/>
        <w:autoSpaceDE w:val="0"/>
        <w:autoSpaceDN w:val="0"/>
        <w:bidi w:val="0"/>
        <w:adjustRightInd w:val="0"/>
        <w:snapToGrid w:val="0"/>
        <w:spacing w:before="57" w:line="600" w:lineRule="exact"/>
        <w:ind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有序引导推进土地流转。</w:t>
      </w:r>
      <w:r>
        <w:rPr>
          <w:rFonts w:hint="eastAsia" w:ascii="仿宋_GB2312" w:hAnsi="仿宋_GB2312" w:eastAsia="仿宋_GB2312" w:cs="仿宋_GB2312"/>
          <w:kern w:val="2"/>
          <w:sz w:val="32"/>
          <w:szCs w:val="22"/>
          <w:lang w:val="en-US" w:eastAsia="zh-CN" w:bidi="ar-SA"/>
        </w:rPr>
        <w:t>加大对农村闲置宅基地和集体经营性建设用地整理复垦力度，优先利用新增建设用地建设中心村，完善土地增收分配机制</w:t>
      </w:r>
      <w:bookmarkStart w:id="119" w:name="_Hlk174536865"/>
      <w:r>
        <w:rPr>
          <w:rFonts w:hint="eastAsia" w:ascii="仿宋_GB2312" w:hAnsi="仿宋_GB2312" w:eastAsia="仿宋_GB2312" w:cs="仿宋_GB2312"/>
          <w:kern w:val="2"/>
          <w:sz w:val="32"/>
          <w:szCs w:val="22"/>
          <w:lang w:val="en-US" w:eastAsia="zh-CN" w:bidi="ar-SA"/>
        </w:rPr>
        <w:t>。</w:t>
      </w:r>
    </w:p>
    <w:p w14:paraId="474E1D8D">
      <w:pPr>
        <w:keepNext w:val="0"/>
        <w:keepLines w:val="0"/>
        <w:pageBreakBefore w:val="0"/>
        <w:widowControl/>
        <w:kinsoku w:val="0"/>
        <w:wordWrap/>
        <w:overflowPunct/>
        <w:topLinePunct w:val="0"/>
        <w:autoSpaceDE w:val="0"/>
        <w:autoSpaceDN w:val="0"/>
        <w:bidi w:val="0"/>
        <w:adjustRightInd w:val="0"/>
        <w:snapToGrid w:val="0"/>
        <w:spacing w:before="57" w:line="600" w:lineRule="exact"/>
        <w:ind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加强永久永久基本农田保护和高标准农田建设。</w:t>
      </w:r>
      <w:r>
        <w:rPr>
          <w:rFonts w:hint="eastAsia" w:ascii="仿宋_GB2312" w:hAnsi="仿宋_GB2312" w:eastAsia="仿宋_GB2312" w:cs="仿宋_GB2312"/>
          <w:kern w:val="2"/>
          <w:sz w:val="32"/>
          <w:szCs w:val="22"/>
          <w:lang w:val="en-US" w:eastAsia="zh-CN" w:bidi="ar-SA"/>
        </w:rPr>
        <w:t>以永久基本农田为基础，优先在粮食生产功能区、重要农产品生产保护区建设高标准农田，逐步把永久永久基本农田全部建成高标准农田。经依法批准确需占用的，应先补划后占用。完善永久永久基本农田储备区制度，土地整治和新建高标准农田增加的优质耕地应当优先补划为永久永久基本农田。在永久永久基本农田集中分布地区，不得规划新建可能造成污染的建设项目。</w:t>
      </w:r>
    </w:p>
    <w:bookmarkEnd w:id="119"/>
    <w:p w14:paraId="11FB0BD9">
      <w:pPr>
        <w:keepNext w:val="0"/>
        <w:keepLines w:val="0"/>
        <w:pageBreakBefore w:val="0"/>
        <w:widowControl/>
        <w:kinsoku w:val="0"/>
        <w:wordWrap/>
        <w:overflowPunct/>
        <w:topLinePunct w:val="0"/>
        <w:autoSpaceDE w:val="0"/>
        <w:autoSpaceDN w:val="0"/>
        <w:bidi w:val="0"/>
        <w:adjustRightInd w:val="0"/>
        <w:snapToGrid w:val="0"/>
        <w:spacing w:before="56"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黑土地保护。</w:t>
      </w:r>
      <w:r>
        <w:rPr>
          <w:rFonts w:hint="eastAsia" w:ascii="仿宋_GB2312" w:hAnsi="仿宋_GB2312" w:eastAsia="仿宋_GB2312" w:cs="仿宋_GB2312"/>
          <w:kern w:val="2"/>
          <w:sz w:val="32"/>
          <w:szCs w:val="22"/>
          <w:lang w:val="en-US" w:eastAsia="zh-CN" w:bidi="ar-SA"/>
        </w:rPr>
        <w:t>涉及占用黑土耕地的，应在黑土区内协调落实补地任务，落实“占黑土补黑土”。建设占用耕地的耕作层土壤应当按照规定的标准进行剥离再利用。采取工程、农艺、农机、生物等综合措施，保护黑土地的优良生产能力。坚持统筹规划、因地制宜、用养结合、近期目标与远期目标结合、突出重点、综合施策的原则。黑土层深厚、土壤性状良好的黑土地应当按照规定的标准划入永久基本农田，实行严格保护。‌‌</w:t>
      </w:r>
    </w:p>
    <w:p w14:paraId="2BD39B82">
      <w:pPr>
        <w:keepNext w:val="0"/>
        <w:keepLines w:val="0"/>
        <w:pageBreakBefore w:val="0"/>
        <w:widowControl/>
        <w:kinsoku w:val="0"/>
        <w:wordWrap/>
        <w:overflowPunct/>
        <w:topLinePunct w:val="0"/>
        <w:autoSpaceDE w:val="0"/>
        <w:autoSpaceDN w:val="0"/>
        <w:bidi w:val="0"/>
        <w:adjustRightInd w:val="0"/>
        <w:snapToGrid w:val="0"/>
        <w:spacing w:before="62"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坚持生态优先，用养结合的原则。</w:t>
      </w:r>
      <w:r>
        <w:rPr>
          <w:rFonts w:hint="eastAsia" w:ascii="仿宋_GB2312" w:hAnsi="仿宋_GB2312" w:eastAsia="仿宋_GB2312" w:cs="仿宋_GB2312"/>
          <w:kern w:val="2"/>
          <w:sz w:val="32"/>
          <w:szCs w:val="22"/>
          <w:lang w:val="en-US" w:eastAsia="zh-CN" w:bidi="ar-SA"/>
        </w:rPr>
        <w:t>落实黑土耕地战略，在耕地利用强度高的地区实行休耕轮作，推广保护性耕作模式，扩大秸秆还田，增加有机肥施用，推进黑土耕地高标准农田建设，完善农田基础设施，提高耕地综合生产能力。加强林网建设，防止黑土流失，保持土壤容量，克音河、努敏河流域沿岸以水土流失治理为主，加强侵蚀沟治理，建立有效的水土流失防治体系。</w:t>
      </w:r>
    </w:p>
    <w:p w14:paraId="13413B70">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120" w:name="_Toc4106"/>
      <w:r>
        <w:rPr>
          <w:rFonts w:hint="eastAsia" w:ascii="Times New Roman" w:hAnsi="Times New Roman"/>
          <w:highlight w:val="none"/>
          <w:lang w:val="en-US" w:eastAsia="zh-CN"/>
        </w:rPr>
        <w:t xml:space="preserve"> </w:t>
      </w:r>
      <w:bookmarkStart w:id="121" w:name="_Toc12474"/>
      <w:r>
        <w:rPr>
          <w:rFonts w:hint="eastAsia" w:ascii="Times New Roman" w:hAnsi="Times New Roman"/>
          <w:highlight w:val="none"/>
          <w:lang w:val="en-US" w:eastAsia="zh-CN"/>
        </w:rPr>
        <w:t>生态功能空间</w:t>
      </w:r>
      <w:bookmarkEnd w:id="120"/>
      <w:bookmarkEnd w:id="121"/>
    </w:p>
    <w:p w14:paraId="2A19CE9C">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22" w:name="_Toc14953"/>
      <w:bookmarkStart w:id="123" w:name="_Toc10232"/>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构建“一轴两带多点”的生态空间总体格局</w:t>
      </w:r>
      <w:bookmarkEnd w:id="122"/>
      <w:bookmarkEnd w:id="123"/>
    </w:p>
    <w:p w14:paraId="2B8B4BE9">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结合靠山乡自然生态条件，依托水林田草等自然资源，筑牢绥棱县周边乡村绿色环绕带生态屏障，推动河流滩涂和平原农田生态治理，强化生态廊道联通性，以努敏河和克音河流域为基础，整合林草生态资源，构建“一轴贯通、两带相依、多点环绕”的生态系统保护格局，作为全乡基本生态空间骨架，进行长期生态保护，维持生态系统功能基底稳定，提升靠山乡生态系统服务能力。</w:t>
      </w:r>
    </w:p>
    <w:p w14:paraId="13C7C320">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“一轴”：指以九江沟为主的东西向贯通乡域中心的沟渠湿地生态系统，结合乡村建设强化统筹协调管理，推进综合治理并加强水土保持，提升水生态环境质量。</w:t>
      </w:r>
    </w:p>
    <w:p w14:paraId="26F5378B">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“两带”：指以克音河和努敏河为主的水系生态带，加强乡域东西两端河流水环境保护，坚持水量、水质和水生态统一管理，保护水生生物生活环境，提升流域生态系统功能。</w:t>
      </w:r>
    </w:p>
    <w:p w14:paraId="3BBD1B85">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“多点”：指乡域内的其他林地、草地、湿地等生态功能区，结合日常生活与农业生产强化统筹管理，“预防为主、科学治理、依法监管、强化责任”，进行对应的生态环境保育与维护。</w:t>
      </w:r>
    </w:p>
    <w:p w14:paraId="2E7BCD29">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24" w:name="_Toc32458"/>
      <w:bookmarkStart w:id="125" w:name="_Toc25754"/>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分级分类管护生态空间</w:t>
      </w:r>
      <w:bookmarkEnd w:id="124"/>
      <w:bookmarkEnd w:id="125"/>
    </w:p>
    <w:p w14:paraId="61D067E0">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1、科学划定生态空间</w:t>
      </w:r>
    </w:p>
    <w:p w14:paraId="6EDB2D0F">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将生态保护红线和生态保护红线之外需要保留原貌及强化生态保育的重要生态廊道、林地、湿地、草地、水域等区域划入生态空间，提高生态空间的完整性和连通性。统筹协调生态空间保护与乡域建设发展之间的关系，合理预留交通、水利、电力、供热、环卫等基础设施建设空间。</w:t>
      </w:r>
    </w:p>
    <w:p w14:paraId="372A8313">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2、分级管控生态空间</w:t>
      </w:r>
    </w:p>
    <w:p w14:paraId="56760798">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针对核心保护区、一般控制区和生态保护红线内外不同生态功能的生态空间，实施内外分级、各有侧重的生态空间分级用途管制策略，严格落实靠山乡生态保护红线管控，确保依法保护的生态空间面积不减少、生态功能不降低，生态服务保障能力逐渐提高。整合、优化努敏河自然保护区及周围河道湿地，完善生态廊道和生物多样性保护网络格局。</w:t>
      </w:r>
    </w:p>
    <w:p w14:paraId="14EF464D">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核心保护区原则上禁止人为活动，一般控制区和生态保护红线内严格禁止开发性、生产性建设活动，除国家重大战略项目外，仅允许部分对生态功能不造成破坏的人为活动。</w:t>
      </w:r>
    </w:p>
    <w:p w14:paraId="66F7B9B4">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生态保护红线外的生态空间以保护和修复生态环境、提供生态产品为首要任务，建立负面清单管理制度，根据区域主导生态功能维护需求，因地制宜发展不影响生态功能的产业。</w:t>
      </w:r>
    </w:p>
    <w:p w14:paraId="15FD1188">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3、分类管护生态空间</w:t>
      </w:r>
    </w:p>
    <w:p w14:paraId="63B8884A">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稳固森林生态系统碳汇本底，不断提升靠山乡森林资源的碳汇能力，提升林地资源保有量。</w:t>
      </w:r>
    </w:p>
    <w:p w14:paraId="47DC6B21">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实施天然草地退牧还草、围栏封育等生态保护修复工程，科学有序提升草地生命力、生产力和土壤固碳、固氮能力。</w:t>
      </w:r>
    </w:p>
    <w:p w14:paraId="4F8B42BA">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着力改善以努敏河、克音河、九江沟为主的水环境生态，科学制定并合理实施河流生态流量保障方案，维持河流湿地基本生态用水需求。遵循努敏河、克音河演变的自然规律，根据河岸线及周边土地的自然条件，充分考虑防洪安全、河势稳定、生态安全、供水安全等方面要求，兼顾生态保护的同时促进努敏河和克音河河岸线及周边土地的合理利用。</w:t>
      </w:r>
    </w:p>
    <w:p w14:paraId="2C97A6FD">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强化河道沿岸田地用途管制和节约集约利用，严格控制开发利用强度，在充分保障其他建设用地需求的基础上提升田地生产力。</w:t>
      </w:r>
    </w:p>
    <w:p w14:paraId="696B0E24">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26" w:name="_Toc929"/>
      <w:bookmarkStart w:id="127" w:name="_Toc717"/>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科学开展国土绿化行动</w:t>
      </w:r>
      <w:bookmarkEnd w:id="126"/>
      <w:bookmarkEnd w:id="127"/>
    </w:p>
    <w:p w14:paraId="6BD9C560">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树立“生态优先，保护第一”的乡域国土生态空间建设理念，以确保生态安全为准则，以集约绿色发展为目标，不断增强靠山乡生态保护和环境治理力度。通过深入调查研究，明确掌握林草湿地等生态资源本底，科学安排绿化用地，为保护全乡生态安全屏障和经济社会发展营造良好的环境。</w:t>
      </w:r>
    </w:p>
    <w:p w14:paraId="6987AB2C">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坚持统筹规划，科学合理有序安排各年度林地绿化任务，实现绿化工作落地上图、责任落实到各村、个人的国土绿化精细化管理。</w:t>
      </w:r>
      <w:bookmarkStart w:id="128" w:name="bookmark32"/>
      <w:bookmarkEnd w:id="128"/>
      <w:bookmarkStart w:id="129" w:name="bookmark31"/>
      <w:bookmarkEnd w:id="129"/>
    </w:p>
    <w:p w14:paraId="1D8436D3">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130" w:name="_Toc18389"/>
      <w:r>
        <w:rPr>
          <w:rFonts w:hint="eastAsia" w:ascii="Times New Roman" w:hAnsi="Times New Roman"/>
          <w:highlight w:val="none"/>
          <w:lang w:val="en-US" w:eastAsia="zh-CN"/>
        </w:rPr>
        <w:t xml:space="preserve"> </w:t>
      </w:r>
      <w:bookmarkStart w:id="131" w:name="_Toc5755"/>
      <w:r>
        <w:rPr>
          <w:rFonts w:hint="eastAsia" w:ascii="Times New Roman" w:hAnsi="Times New Roman"/>
          <w:highlight w:val="none"/>
          <w:lang w:val="en-US" w:eastAsia="zh-CN"/>
        </w:rPr>
        <w:t>城乡建设空间</w:t>
      </w:r>
      <w:bookmarkEnd w:id="130"/>
      <w:bookmarkEnd w:id="131"/>
    </w:p>
    <w:p w14:paraId="24DBBD27">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构建镇村等级体系</w:t>
      </w:r>
    </w:p>
    <w:p w14:paraId="70965CC1">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综合考虑乡镇当地人口规模、经济职能、辐射范围等因素，按照原乡政府驻地—中心村—一般村三级镇村体系，细化靠山乡居民点体系等级结构、职能分工和发展方向。</w:t>
      </w:r>
    </w:p>
    <w:p w14:paraId="016707C7">
      <w:pPr>
        <w:pageBreakBefore w:val="0"/>
        <w:widowControl/>
        <w:wordWrap/>
        <w:overflowPunct/>
        <w:topLinePunct w:val="0"/>
        <w:bidi w:val="0"/>
        <w:spacing w:line="600" w:lineRule="exact"/>
        <w:ind w:firstLine="640"/>
        <w:rPr>
          <w:rFonts w:hint="default"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中心村：指九江村。</w:t>
      </w:r>
    </w:p>
    <w:p w14:paraId="2EF435FE">
      <w:pPr>
        <w:pageBreakBefore w:val="0"/>
        <w:widowControl/>
        <w:wordWrap/>
        <w:overflowPunct/>
        <w:topLinePunct w:val="0"/>
        <w:bidi w:val="0"/>
        <w:spacing w:line="600" w:lineRule="exact"/>
        <w:ind w:firstLine="640"/>
        <w:rPr>
          <w:rFonts w:hint="default"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一般村：指富国村、七井村、胜利村、靠山村、光芒村、双合村。</w:t>
      </w:r>
    </w:p>
    <w:p w14:paraId="55611A04">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32" w:name="_Toc26976"/>
      <w:bookmarkStart w:id="133" w:name="_Toc3845"/>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聚焦现代农业建设，加快产业优化升级</w:t>
      </w:r>
      <w:bookmarkEnd w:id="132"/>
      <w:bookmarkEnd w:id="133"/>
    </w:p>
    <w:p w14:paraId="274AA71D">
      <w:pPr>
        <w:keepNext w:val="0"/>
        <w:keepLines w:val="0"/>
        <w:pageBreakBefore w:val="0"/>
        <w:widowControl/>
        <w:kinsoku w:val="0"/>
        <w:wordWrap/>
        <w:overflowPunct/>
        <w:topLinePunct w:val="0"/>
        <w:autoSpaceDE w:val="0"/>
        <w:autoSpaceDN w:val="0"/>
        <w:bidi w:val="0"/>
        <w:adjustRightInd w:val="0"/>
        <w:snapToGrid w:val="0"/>
        <w:spacing w:before="54"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建设水稻产业深加工聚集区。</w:t>
      </w:r>
      <w:r>
        <w:rPr>
          <w:rFonts w:hint="eastAsia" w:ascii="仿宋_GB2312" w:hAnsi="仿宋_GB2312" w:eastAsia="仿宋_GB2312" w:cs="仿宋_GB2312"/>
          <w:kern w:val="2"/>
          <w:sz w:val="32"/>
          <w:szCs w:val="22"/>
          <w:lang w:val="en-US" w:eastAsia="zh-CN" w:bidi="ar-SA"/>
        </w:rPr>
        <w:t>依托九江村、胜利村水稻基地、合作社基础等优势，做大做强粮食和绿色食品深加工产业链，推进农产品精深加工提档升级，打造以“水稻、玉米”系列靠山农特绿色产品为核心，全面实现绿色食品产业转型升级。</w:t>
      </w:r>
    </w:p>
    <w:p w14:paraId="1BDD2E64">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农业观光旅游业。</w:t>
      </w:r>
      <w:r>
        <w:rPr>
          <w:rFonts w:hint="eastAsia" w:ascii="仿宋_GB2312" w:hAnsi="仿宋_GB2312" w:eastAsia="仿宋_GB2312" w:cs="仿宋_GB2312"/>
          <w:kern w:val="2"/>
          <w:sz w:val="32"/>
          <w:szCs w:val="22"/>
          <w:lang w:val="en-US" w:eastAsia="zh-CN" w:bidi="ar-SA"/>
        </w:rPr>
        <w:t>依托区域交通走廊以及重要河流沿线形成的乡村产业发展轴带，分别为国道333、克音河沿岸、努敏河沿岸等发展具有当地特色的生态观光旅游产业。</w:t>
      </w:r>
    </w:p>
    <w:p w14:paraId="79F411F7">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34" w:name="_Toc8967"/>
      <w:bookmarkStart w:id="135" w:name="_Toc4924"/>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完善新乡村服务，促进产城融合发展</w:t>
      </w:r>
      <w:bookmarkEnd w:id="134"/>
      <w:bookmarkEnd w:id="135"/>
    </w:p>
    <w:p w14:paraId="44479D07">
      <w:pPr>
        <w:keepNext w:val="0"/>
        <w:keepLines w:val="0"/>
        <w:pageBreakBefore w:val="0"/>
        <w:widowControl/>
        <w:kinsoku w:val="0"/>
        <w:wordWrap/>
        <w:overflowPunct/>
        <w:topLinePunct w:val="0"/>
        <w:autoSpaceDE w:val="0"/>
        <w:autoSpaceDN w:val="0"/>
        <w:bidi w:val="0"/>
        <w:adjustRightInd w:val="0"/>
        <w:snapToGrid w:val="0"/>
        <w:spacing w:before="102"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优化乡村旅游布局。</w:t>
      </w:r>
      <w:r>
        <w:rPr>
          <w:rFonts w:hint="eastAsia" w:ascii="仿宋_GB2312" w:hAnsi="仿宋_GB2312" w:eastAsia="仿宋_GB2312" w:cs="仿宋_GB2312"/>
          <w:kern w:val="2"/>
          <w:sz w:val="32"/>
          <w:szCs w:val="22"/>
          <w:lang w:val="en-US" w:eastAsia="zh-CN" w:bidi="ar-SA"/>
        </w:rPr>
        <w:t>充分发掘湿地、草原、森林、农田、风力发电等自然生态资源，积极发展休闲度假、生态乡村、户外运动等旅游产品。依托国道333、克音河沿岸、努敏河沿岸积极发展乡村特色旅游业。</w:t>
      </w:r>
    </w:p>
    <w:p w14:paraId="7FF11CED">
      <w:pPr>
        <w:keepNext w:val="0"/>
        <w:keepLines w:val="0"/>
        <w:pageBreakBefore w:val="0"/>
        <w:widowControl/>
        <w:kinsoku w:val="0"/>
        <w:wordWrap/>
        <w:overflowPunct/>
        <w:topLinePunct w:val="0"/>
        <w:autoSpaceDE w:val="0"/>
        <w:autoSpaceDN w:val="0"/>
        <w:bidi w:val="0"/>
        <w:adjustRightInd w:val="0"/>
        <w:snapToGrid w:val="0"/>
        <w:spacing w:before="69" w:line="600" w:lineRule="exact"/>
        <w:ind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保障现代服务业用地空间。</w:t>
      </w:r>
      <w:r>
        <w:rPr>
          <w:rFonts w:hint="eastAsia" w:ascii="仿宋_GB2312" w:hAnsi="仿宋_GB2312" w:eastAsia="仿宋_GB2312" w:cs="仿宋_GB2312"/>
          <w:kern w:val="2"/>
          <w:sz w:val="32"/>
          <w:szCs w:val="22"/>
          <w:lang w:val="en-US" w:eastAsia="zh-CN" w:bidi="ar-SA"/>
        </w:rPr>
        <w:t>合理布局商业商务用地、仓储用地，促进现代服务业高质量发展。充分利用零碎产业用地和现有闲置资源，引导现代服务业空间复合化利用，引导创新空间嵌入式发展，推进创业服务、孵化器等新型创新创业平台建设。</w:t>
      </w:r>
    </w:p>
    <w:p w14:paraId="4CF11F3F">
      <w:pPr>
        <w:keepNext w:val="0"/>
        <w:keepLines w:val="0"/>
        <w:pageBreakBefore w:val="0"/>
        <w:widowControl/>
        <w:kinsoku w:val="0"/>
        <w:wordWrap/>
        <w:overflowPunct/>
        <w:topLinePunct w:val="0"/>
        <w:autoSpaceDE w:val="0"/>
        <w:autoSpaceDN w:val="0"/>
        <w:bidi w:val="0"/>
        <w:adjustRightInd w:val="0"/>
        <w:snapToGrid w:val="0"/>
        <w:spacing w:before="69" w:line="600" w:lineRule="exact"/>
        <w:ind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公共服务设施</w:t>
      </w:r>
      <w:r>
        <w:rPr>
          <w:rFonts w:hint="eastAsia" w:ascii="Times New Roman" w:hAnsi="Times New Roman" w:eastAsia="楷体" w:cs="仿宋"/>
          <w:color w:val="000000"/>
          <w:kern w:val="0"/>
          <w:szCs w:val="32"/>
          <w:highlight w:val="none"/>
          <w:lang w:val="en-US" w:eastAsia="zh-CN" w:bidi="ar"/>
        </w:rPr>
        <w:t>配套</w:t>
      </w:r>
      <w:r>
        <w:rPr>
          <w:rFonts w:hint="eastAsia" w:ascii="Times New Roman" w:hAnsi="Times New Roman" w:eastAsia="楷体" w:cs="仿宋"/>
          <w:color w:val="000000"/>
          <w:kern w:val="0"/>
          <w:szCs w:val="32"/>
          <w:highlight w:val="none"/>
          <w:lang w:eastAsia="zh-CN" w:bidi="ar"/>
        </w:rPr>
        <w:t>体系。</w:t>
      </w:r>
      <w:r>
        <w:rPr>
          <w:rFonts w:hint="eastAsia" w:ascii="仿宋_GB2312" w:hAnsi="仿宋_GB2312" w:eastAsia="仿宋_GB2312" w:cs="仿宋_GB2312"/>
          <w:kern w:val="2"/>
          <w:sz w:val="32"/>
          <w:szCs w:val="22"/>
          <w:lang w:val="en-US" w:eastAsia="zh-CN" w:bidi="ar-SA"/>
        </w:rPr>
        <w:t>完善乡村文化、体育、医疗、科教、养老等职能补齐公共服务设施短板，形成公共活动中心。提升靠山乡的综合服务能力，推进公共服务设施补短板、强弱项，建设乡村生活圈，保障基层公共服务设施供给，促进乡村融合，激发乡村活力。</w:t>
      </w:r>
    </w:p>
    <w:p w14:paraId="0A2B7A9C">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36" w:name="_Toc11505"/>
      <w:bookmarkStart w:id="137" w:name="_Toc30336"/>
      <w:bookmarkStart w:id="138" w:name="_Hlk174537207"/>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全域统筹，合理布局产业空间</w:t>
      </w:r>
      <w:bookmarkEnd w:id="136"/>
      <w:bookmarkEnd w:id="137"/>
      <w:bookmarkEnd w:id="138"/>
    </w:p>
    <w:p w14:paraId="0D9784B7">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规划构建“一核一带两片区”的乡域产业空间结构。</w:t>
      </w:r>
    </w:p>
    <w:p w14:paraId="30A3D213">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“一核”是靠山乡核心发展区域，位于原乡政府驻地，是靠山乡的发展的核心，突出其区域竞争与合作、人口集聚、产业空间载体等功能，辐射引领全乡发展，是全乡人口、经济重要载体。</w:t>
      </w:r>
    </w:p>
    <w:p w14:paraId="0B24C672">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“一带”是依托区域交通走廊国道333的胜利-光芒-双合-七井的乡村功能联系轴，是全乡人口和产业集中发展的重要轴带，是联通乡与周边乡村以及县城的重要通道。</w:t>
      </w:r>
    </w:p>
    <w:p w14:paraId="120D9332">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两片区”是近郊综合产业发展区，包括位于乡域北部靠近绥棱县城的双合村、胜利村与光芒村，发挥靠山乡近郊优势与绥棱县城联动。外环现代农业发展区，包括九江村、七井村、富国村与靠山村，着力发展现代化农业。</w:t>
      </w:r>
    </w:p>
    <w:p w14:paraId="48138EFB">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p>
    <w:p w14:paraId="34A95989">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br w:type="page"/>
      </w:r>
    </w:p>
    <w:p w14:paraId="73BF4157">
      <w:pPr>
        <w:pStyle w:val="3"/>
        <w:keepNext/>
        <w:keepLines/>
        <w:pageBreakBefore w:val="0"/>
        <w:widowControl w:val="0"/>
        <w:numPr>
          <w:ilvl w:val="0"/>
          <w:numId w:val="5"/>
        </w:numPr>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简体" w:cs="方正小标宋简体"/>
          <w:b w:val="0"/>
          <w:bCs w:val="0"/>
          <w:sz w:val="36"/>
          <w:szCs w:val="36"/>
          <w:highlight w:val="none"/>
          <w:lang w:val="en-US" w:eastAsia="zh-CN"/>
        </w:rPr>
      </w:pPr>
      <w:bookmarkStart w:id="139" w:name="_Toc16380"/>
      <w:bookmarkStart w:id="140" w:name="_Toc29485"/>
      <w:r>
        <w:rPr>
          <w:rFonts w:hint="eastAsia" w:ascii="Times New Roman" w:hAnsi="Times New Roman" w:eastAsia="方正小标宋简体" w:cs="方正小标宋简体"/>
          <w:b w:val="0"/>
          <w:bCs w:val="0"/>
          <w:sz w:val="36"/>
          <w:szCs w:val="36"/>
          <w:highlight w:val="none"/>
          <w:lang w:val="en-US" w:eastAsia="zh-CN"/>
        </w:rPr>
        <w:t>靠山乡政府驻地规划</w:t>
      </w:r>
      <w:bookmarkEnd w:id="139"/>
      <w:bookmarkEnd w:id="140"/>
    </w:p>
    <w:p w14:paraId="673A5B28">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141" w:name="_Toc13053"/>
      <w:r>
        <w:rPr>
          <w:rFonts w:hint="eastAsia" w:ascii="Times New Roman" w:hAnsi="Times New Roman"/>
          <w:highlight w:val="none"/>
          <w:lang w:val="en-US" w:eastAsia="zh-CN"/>
        </w:rPr>
        <w:t xml:space="preserve"> </w:t>
      </w:r>
      <w:bookmarkStart w:id="142" w:name="_Toc9180"/>
      <w:r>
        <w:rPr>
          <w:rFonts w:hint="eastAsia" w:ascii="Times New Roman" w:hAnsi="Times New Roman"/>
          <w:highlight w:val="none"/>
          <w:lang w:val="en-US" w:eastAsia="zh-CN"/>
        </w:rPr>
        <w:t>发展方向与规模</w:t>
      </w:r>
      <w:bookmarkEnd w:id="141"/>
      <w:bookmarkEnd w:id="142"/>
    </w:p>
    <w:p w14:paraId="0568FC3E">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143" w:name="_Toc2654"/>
      <w:bookmarkStart w:id="144" w:name="_Toc11316"/>
      <w:r>
        <w:rPr>
          <w:rFonts w:hint="eastAsia" w:ascii="Times New Roman" w:hAnsi="Times New Roman" w:eastAsia="楷体" w:cs="Times New Roman"/>
          <w:szCs w:val="24"/>
          <w:highlight w:val="none"/>
          <w:lang w:val="en-US" w:eastAsia="zh-CN"/>
        </w:rPr>
        <w:t xml:space="preserve"> 发展方向</w:t>
      </w:r>
      <w:bookmarkEnd w:id="143"/>
      <w:bookmarkEnd w:id="144"/>
    </w:p>
    <w:p w14:paraId="7EE4211A">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本轮规划致力于开发靠山乡原乡政府驻地产业园区，完善基础设施建设，引进优质产业资源，土地进行高质量开发，打造北方特色的乡村农产品加工产业区，并且进一步完善全乡的物流体系，加快升级现有农产品加工业规模体系，打造靠山乡农产品商贸中心。支持家庭农场、农民合作社和中小微企业等发展农产品产地初加工。</w:t>
      </w:r>
    </w:p>
    <w:p w14:paraId="12D9DE96">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145" w:name="_Toc15898"/>
      <w:bookmarkStart w:id="146" w:name="_Toc4615"/>
      <w:r>
        <w:rPr>
          <w:rFonts w:hint="eastAsia" w:ascii="Times New Roman" w:hAnsi="Times New Roman" w:eastAsia="楷体" w:cs="Times New Roman"/>
          <w:szCs w:val="24"/>
          <w:highlight w:val="none"/>
          <w:lang w:val="en-US" w:eastAsia="zh-CN"/>
        </w:rPr>
        <w:t xml:space="preserve"> 发展定位</w:t>
      </w:r>
      <w:bookmarkEnd w:id="145"/>
      <w:bookmarkEnd w:id="146"/>
    </w:p>
    <w:p w14:paraId="0F29158D">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靠山乡为农贸型乡村，依托优质农业资源及原乡政府驻地区位条件，打造靠山乡农产品加工和集散中心。</w:t>
      </w:r>
    </w:p>
    <w:p w14:paraId="4F473265">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default" w:ascii="Times New Roman" w:hAnsi="Times New Roman"/>
          <w:highlight w:val="none"/>
          <w:lang w:val="en-US" w:eastAsia="zh-CN"/>
        </w:rPr>
      </w:pPr>
      <w:bookmarkStart w:id="147" w:name="_Toc3455"/>
      <w:r>
        <w:rPr>
          <w:rFonts w:hint="eastAsia" w:ascii="Times New Roman" w:hAnsi="Times New Roman"/>
          <w:highlight w:val="none"/>
          <w:lang w:val="en-US" w:eastAsia="zh-CN"/>
        </w:rPr>
        <w:t xml:space="preserve"> </w:t>
      </w:r>
      <w:bookmarkStart w:id="148" w:name="_Toc17668"/>
      <w:r>
        <w:rPr>
          <w:rFonts w:hint="eastAsia" w:ascii="Times New Roman" w:hAnsi="Times New Roman"/>
          <w:highlight w:val="none"/>
          <w:lang w:val="en-US" w:eastAsia="zh-CN"/>
        </w:rPr>
        <w:t>功能结构与布局</w:t>
      </w:r>
      <w:bookmarkEnd w:id="147"/>
      <w:bookmarkEnd w:id="148"/>
    </w:p>
    <w:p w14:paraId="205B31AB">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49" w:name="_Toc19801"/>
      <w:bookmarkStart w:id="150" w:name="_Toc27766"/>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空间布局结构</w:t>
      </w:r>
      <w:bookmarkEnd w:id="149"/>
      <w:bookmarkEnd w:id="150"/>
    </w:p>
    <w:p w14:paraId="2D576DA4">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bookmarkStart w:id="151" w:name="_Hlk174543652"/>
      <w:r>
        <w:rPr>
          <w:rFonts w:hint="eastAsia" w:ascii="仿宋_GB2312" w:hAnsi="仿宋_GB2312" w:eastAsia="仿宋_GB2312" w:cs="仿宋_GB2312"/>
          <w:kern w:val="2"/>
          <w:sz w:val="32"/>
          <w:szCs w:val="22"/>
          <w:lang w:val="en-US" w:eastAsia="zh-CN" w:bidi="ar-SA"/>
        </w:rPr>
        <w:t>形成“一核、一轴、三区”总体空间结构。</w:t>
      </w:r>
    </w:p>
    <w:p w14:paraId="7ADC2655">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“一核”指原乡政府驻地综合服务核心区，辐射周边区域。</w:t>
      </w:r>
    </w:p>
    <w:p w14:paraId="1174D79A">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“一轴”指依托原乡政府驻地内部的纵二路发展的主要地带。</w:t>
      </w:r>
      <w:bookmarkStart w:id="152" w:name="_Hlk174543695"/>
      <w:r>
        <w:rPr>
          <w:rFonts w:hint="eastAsia" w:ascii="仿宋_GB2312" w:hAnsi="仿宋_GB2312" w:eastAsia="仿宋_GB2312" w:cs="仿宋_GB2312"/>
          <w:kern w:val="2"/>
          <w:sz w:val="32"/>
          <w:szCs w:val="22"/>
          <w:lang w:val="en-US" w:eastAsia="zh-CN" w:bidi="ar-SA"/>
        </w:rPr>
        <w:t>依托交通便利带动原乡政府驻地经济发展。</w:t>
      </w:r>
      <w:bookmarkEnd w:id="152"/>
    </w:p>
    <w:p w14:paraId="4F9DD334">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“三区”指工业发展区、居住生活区与商业集聚区。</w:t>
      </w:r>
    </w:p>
    <w:bookmarkEnd w:id="151"/>
    <w:p w14:paraId="240BA9A4">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53" w:name="_Toc20527"/>
      <w:bookmarkStart w:id="154" w:name="_Toc14450"/>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规划分区</w:t>
      </w:r>
      <w:bookmarkEnd w:id="153"/>
      <w:bookmarkEnd w:id="154"/>
    </w:p>
    <w:p w14:paraId="2BCF3A17">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default"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靠山乡现代农业产业园以农产品加工为支柱、多种产业共存的格局，规划</w:t>
      </w:r>
      <w:bookmarkStart w:id="155" w:name="_Hlk174530392"/>
      <w:r>
        <w:rPr>
          <w:rFonts w:hint="eastAsia" w:ascii="仿宋_GB2312" w:hAnsi="仿宋_GB2312" w:eastAsia="仿宋_GB2312" w:cs="仿宋_GB2312"/>
          <w:kern w:val="2"/>
          <w:sz w:val="32"/>
          <w:szCs w:val="22"/>
          <w:lang w:val="en-US" w:eastAsia="zh-CN" w:bidi="ar-SA"/>
        </w:rPr>
        <w:t>村民生活区、生产发展区、公共服务区、三区联动发展。</w:t>
      </w:r>
    </w:p>
    <w:bookmarkEnd w:id="155"/>
    <w:p w14:paraId="7070D67A">
      <w:pPr>
        <w:keepNext w:val="0"/>
        <w:keepLines w:val="0"/>
        <w:pageBreakBefore w:val="0"/>
        <w:widowControl/>
        <w:kinsoku w:val="0"/>
        <w:wordWrap/>
        <w:overflowPunct/>
        <w:topLinePunct w:val="0"/>
        <w:autoSpaceDE w:val="0"/>
        <w:autoSpaceDN w:val="0"/>
        <w:bidi w:val="0"/>
        <w:adjustRightInd w:val="0"/>
        <w:snapToGrid w:val="0"/>
        <w:spacing w:before="69" w:line="600" w:lineRule="exact"/>
        <w:ind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生产发展区。</w:t>
      </w:r>
      <w:r>
        <w:rPr>
          <w:rFonts w:hint="eastAsia" w:ascii="仿宋_GB2312" w:hAnsi="仿宋_GB2312" w:eastAsia="仿宋_GB2312" w:cs="仿宋_GB2312"/>
          <w:kern w:val="2"/>
          <w:sz w:val="32"/>
          <w:szCs w:val="22"/>
          <w:lang w:val="en-US" w:eastAsia="zh-CN" w:bidi="ar-SA"/>
        </w:rPr>
        <w:t>主要包括西部木材加工厂、养鸡场及南部酱菜厂，以工业用地、物流仓储用地与农业设施用地为主，以农产品加工、农机销售、物流运输为主要功能。</w:t>
      </w:r>
    </w:p>
    <w:p w14:paraId="161F9617">
      <w:pPr>
        <w:keepNext w:val="0"/>
        <w:keepLines w:val="0"/>
        <w:pageBreakBefore w:val="0"/>
        <w:widowControl/>
        <w:kinsoku w:val="0"/>
        <w:wordWrap/>
        <w:overflowPunct/>
        <w:topLinePunct w:val="0"/>
        <w:autoSpaceDE w:val="0"/>
        <w:autoSpaceDN w:val="0"/>
        <w:bidi w:val="0"/>
        <w:adjustRightInd w:val="0"/>
        <w:snapToGrid w:val="0"/>
        <w:spacing w:before="69" w:line="600" w:lineRule="exact"/>
        <w:ind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村民生活区。</w:t>
      </w:r>
      <w:r>
        <w:rPr>
          <w:rFonts w:hint="eastAsia" w:ascii="仿宋_GB2312" w:hAnsi="仿宋_GB2312" w:eastAsia="仿宋_GB2312" w:cs="仿宋_GB2312"/>
          <w:kern w:val="2"/>
          <w:sz w:val="32"/>
          <w:szCs w:val="22"/>
          <w:lang w:val="en-US" w:eastAsia="zh-CN" w:bidi="ar-SA"/>
        </w:rPr>
        <w:t>位于原乡政府驻地的中部，主要为农村宅基地，以满足村民日常生活需要为主要功能。</w:t>
      </w:r>
    </w:p>
    <w:p w14:paraId="230C2F30">
      <w:pPr>
        <w:keepNext w:val="0"/>
        <w:keepLines w:val="0"/>
        <w:pageBreakBefore w:val="0"/>
        <w:widowControl/>
        <w:kinsoku w:val="0"/>
        <w:wordWrap/>
        <w:overflowPunct/>
        <w:topLinePunct w:val="0"/>
        <w:autoSpaceDE w:val="0"/>
        <w:autoSpaceDN w:val="0"/>
        <w:bidi w:val="0"/>
        <w:adjustRightInd w:val="0"/>
        <w:snapToGrid w:val="0"/>
        <w:spacing w:before="69" w:line="600" w:lineRule="exact"/>
        <w:ind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公共服务区。</w:t>
      </w:r>
      <w:r>
        <w:rPr>
          <w:rFonts w:hint="eastAsia" w:ascii="仿宋_GB2312" w:hAnsi="仿宋_GB2312" w:eastAsia="仿宋_GB2312" w:cs="仿宋_GB2312"/>
          <w:kern w:val="2"/>
          <w:sz w:val="32"/>
          <w:szCs w:val="22"/>
          <w:lang w:val="en-US" w:eastAsia="zh-CN" w:bidi="ar-SA"/>
        </w:rPr>
        <w:t>位于原乡政府驻地北部和东南部三角区域，主要为商业用地及公共服务用地，以商业服务为主要功能。</w:t>
      </w:r>
    </w:p>
    <w:p w14:paraId="5733920D">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default" w:ascii="Times New Roman" w:hAnsi="Times New Roman"/>
          <w:highlight w:val="none"/>
          <w:lang w:val="en-US" w:eastAsia="zh-CN"/>
        </w:rPr>
      </w:pPr>
      <w:bookmarkStart w:id="156" w:name="_Toc19006"/>
      <w:r>
        <w:rPr>
          <w:rFonts w:hint="eastAsia" w:ascii="Times New Roman" w:hAnsi="Times New Roman"/>
          <w:highlight w:val="none"/>
          <w:lang w:val="en-US" w:eastAsia="zh-CN"/>
        </w:rPr>
        <w:t xml:space="preserve"> </w:t>
      </w:r>
      <w:bookmarkStart w:id="157" w:name="_Toc29030"/>
      <w:r>
        <w:rPr>
          <w:rFonts w:hint="eastAsia" w:ascii="Times New Roman" w:hAnsi="Times New Roman"/>
          <w:highlight w:val="none"/>
          <w:lang w:val="en-US" w:eastAsia="zh-CN"/>
        </w:rPr>
        <w:t>绿地与开敞空间</w:t>
      </w:r>
      <w:bookmarkEnd w:id="156"/>
      <w:bookmarkEnd w:id="157"/>
    </w:p>
    <w:p w14:paraId="4AC9406E">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58" w:name="_Toc14300"/>
      <w:bookmarkStart w:id="159" w:name="_Toc3005"/>
      <w:bookmarkStart w:id="160" w:name="_Toc28940"/>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用地结构</w:t>
      </w:r>
      <w:bookmarkEnd w:id="158"/>
      <w:bookmarkEnd w:id="159"/>
      <w:r>
        <w:rPr>
          <w:rFonts w:hint="eastAsia" w:ascii="Times New Roman" w:hAnsi="Times New Roman" w:eastAsia="楷体" w:cs="Times New Roman"/>
          <w:szCs w:val="24"/>
          <w:highlight w:val="none"/>
          <w:lang w:val="en-US" w:eastAsia="zh-CN"/>
        </w:rPr>
        <w:t>与布局</w:t>
      </w:r>
    </w:p>
    <w:p w14:paraId="60F51C6C">
      <w:pPr>
        <w:pageBreakBefore w:val="0"/>
        <w:widowControl/>
        <w:wordWrap/>
        <w:overflowPunct/>
        <w:topLinePunct w:val="0"/>
        <w:bidi w:val="0"/>
        <w:spacing w:line="600" w:lineRule="exact"/>
        <w:ind w:firstLine="640"/>
        <w:rPr>
          <w:rFonts w:hint="eastAsia" w:ascii="Times New Roman" w:hAnsi="Times New Roman" w:eastAsia="楷体" w:cs="仿宋"/>
          <w:color w:val="000000"/>
          <w:kern w:val="0"/>
          <w:szCs w:val="32"/>
          <w:highlight w:val="none"/>
          <w:lang w:val="en-US" w:eastAsia="zh-CN" w:bidi="ar"/>
        </w:rPr>
      </w:pPr>
      <w:bookmarkStart w:id="161" w:name="bookmark42"/>
      <w:bookmarkEnd w:id="161"/>
      <w:r>
        <w:rPr>
          <w:rFonts w:hint="eastAsia" w:ascii="Times New Roman" w:hAnsi="Times New Roman" w:eastAsia="楷体" w:cs="仿宋"/>
          <w:color w:val="000000"/>
          <w:kern w:val="0"/>
          <w:szCs w:val="32"/>
          <w:highlight w:val="none"/>
          <w:lang w:val="en-US" w:eastAsia="zh-CN" w:bidi="ar"/>
        </w:rPr>
        <w:t>1、居住空间布局</w:t>
      </w:r>
    </w:p>
    <w:p w14:paraId="2687C946">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default"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根据靠山乡</w:t>
      </w:r>
      <w:r>
        <w:rPr>
          <w:rFonts w:hint="default" w:ascii="仿宋_GB2312" w:hAnsi="仿宋_GB2312" w:eastAsia="仿宋_GB2312" w:cs="仿宋_GB2312"/>
          <w:kern w:val="2"/>
          <w:sz w:val="32"/>
          <w:szCs w:val="22"/>
          <w:lang w:val="en-US" w:eastAsia="zh-CN" w:bidi="ar-SA"/>
        </w:rPr>
        <w:t>实际</w:t>
      </w:r>
      <w:r>
        <w:rPr>
          <w:rFonts w:hint="eastAsia" w:ascii="仿宋_GB2312" w:hAnsi="仿宋_GB2312" w:eastAsia="仿宋_GB2312" w:cs="仿宋_GB2312"/>
          <w:kern w:val="2"/>
          <w:sz w:val="32"/>
          <w:szCs w:val="22"/>
          <w:lang w:val="en-US" w:eastAsia="zh-CN" w:bidi="ar-SA"/>
        </w:rPr>
        <w:t>情况</w:t>
      </w:r>
      <w:r>
        <w:rPr>
          <w:rFonts w:hint="default" w:ascii="仿宋_GB2312" w:hAnsi="仿宋_GB2312" w:eastAsia="仿宋_GB2312" w:cs="仿宋_GB2312"/>
          <w:kern w:val="2"/>
          <w:sz w:val="32"/>
          <w:szCs w:val="22"/>
          <w:lang w:val="en-US" w:eastAsia="zh-CN" w:bidi="ar-SA"/>
        </w:rPr>
        <w:t>，优化居住用地结构和布局，制定低效用地改造、危房改造、人居环境整治等行动计划，并提出建设时序，严控高层高密度住宅。</w:t>
      </w:r>
    </w:p>
    <w:p w14:paraId="3530879F">
      <w:pPr>
        <w:pageBreakBefore w:val="0"/>
        <w:widowControl/>
        <w:wordWrap/>
        <w:overflowPunct/>
        <w:topLinePunct w:val="0"/>
        <w:bidi w:val="0"/>
        <w:spacing w:line="600" w:lineRule="exact"/>
        <w:ind w:firstLine="640"/>
        <w:rPr>
          <w:rFonts w:hint="default" w:ascii="Times New Roman" w:hAnsi="Times New Roman" w:eastAsia="楷体" w:cs="仿宋"/>
          <w:color w:val="000000"/>
          <w:kern w:val="0"/>
          <w:szCs w:val="32"/>
          <w:highlight w:val="none"/>
          <w:lang w:val="en-US" w:eastAsia="zh-CN" w:bidi="ar"/>
        </w:rPr>
      </w:pPr>
      <w:r>
        <w:rPr>
          <w:rFonts w:hint="eastAsia" w:ascii="Times New Roman" w:hAnsi="Times New Roman" w:eastAsia="楷体" w:cs="仿宋"/>
          <w:color w:val="000000"/>
          <w:kern w:val="0"/>
          <w:szCs w:val="32"/>
          <w:highlight w:val="none"/>
          <w:lang w:val="en-US" w:eastAsia="zh-CN" w:bidi="ar"/>
        </w:rPr>
        <w:t>2、公共服务空间布局</w:t>
      </w:r>
    </w:p>
    <w:p w14:paraId="7004650D">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default"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完善乡政府驻地商贸服务职能，合理布局、优化商业服务体系，引导靠山乡商业发展。根据需求预测，合理预留休闲、旅游等服务设施空间。</w:t>
      </w:r>
    </w:p>
    <w:p w14:paraId="10379A7B">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r>
        <w:rPr>
          <w:rFonts w:hint="eastAsia" w:ascii="Times New Roman" w:hAnsi="Times New Roman" w:eastAsia="楷体" w:cs="Times New Roman"/>
          <w:szCs w:val="24"/>
          <w:highlight w:val="none"/>
          <w:lang w:val="en-US" w:eastAsia="zh-CN"/>
        </w:rPr>
        <w:t xml:space="preserve"> 绿地和开敞空间布局</w:t>
      </w:r>
      <w:bookmarkEnd w:id="160"/>
    </w:p>
    <w:p w14:paraId="0B7573E6">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乡政府驻地绿化系统应与全乡的绿化生态系统形成有机的联系，注重生态环境保护，满足村民生活中的游憩需求。</w:t>
      </w:r>
    </w:p>
    <w:p w14:paraId="6B68CA1D">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default" w:ascii="Times New Roman" w:hAnsi="Times New Roman"/>
          <w:highlight w:val="none"/>
          <w:lang w:val="en-US" w:eastAsia="zh-CN"/>
        </w:rPr>
      </w:pPr>
      <w:bookmarkStart w:id="162" w:name="_Toc29744"/>
      <w:r>
        <w:rPr>
          <w:rFonts w:hint="eastAsia" w:ascii="Times New Roman" w:hAnsi="Times New Roman"/>
          <w:highlight w:val="none"/>
          <w:lang w:val="en-US" w:eastAsia="zh-CN"/>
        </w:rPr>
        <w:t xml:space="preserve"> </w:t>
      </w:r>
      <w:bookmarkStart w:id="163" w:name="_Toc6694"/>
      <w:r>
        <w:rPr>
          <w:rFonts w:hint="eastAsia" w:ascii="Times New Roman" w:hAnsi="Times New Roman"/>
          <w:highlight w:val="none"/>
          <w:lang w:val="en-US" w:eastAsia="zh-CN"/>
        </w:rPr>
        <w:t>道路与交通设施</w:t>
      </w:r>
      <w:bookmarkEnd w:id="162"/>
      <w:bookmarkEnd w:id="163"/>
    </w:p>
    <w:p w14:paraId="65B2B959">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64" w:name="_Toc7068"/>
      <w:bookmarkStart w:id="165" w:name="_Toc4039"/>
      <w:r>
        <w:rPr>
          <w:rFonts w:hint="eastAsia" w:ascii="Times New Roman" w:hAnsi="Times New Roman" w:eastAsia="楷体" w:cs="Times New Roman"/>
          <w:szCs w:val="24"/>
          <w:highlight w:val="none"/>
          <w:lang w:val="en-US" w:eastAsia="zh-CN"/>
        </w:rPr>
        <w:t xml:space="preserve"> </w:t>
      </w:r>
      <w:r>
        <w:rPr>
          <w:rFonts w:hint="eastAsia" w:ascii="Times New Roman" w:hAnsi="Times New Roman" w:eastAsia="楷体" w:cs="Times New Roman"/>
          <w:szCs w:val="24"/>
          <w:highlight w:val="none"/>
          <w:lang w:eastAsia="zh-CN"/>
        </w:rPr>
        <w:t>道路结构</w:t>
      </w:r>
      <w:bookmarkEnd w:id="164"/>
      <w:bookmarkEnd w:id="165"/>
    </w:p>
    <w:p w14:paraId="56AFF1A3">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bookmarkStart w:id="166" w:name="_Hlk174543508"/>
      <w:r>
        <w:rPr>
          <w:rFonts w:hint="eastAsia" w:ascii="仿宋_GB2312" w:hAnsi="仿宋_GB2312" w:eastAsia="仿宋_GB2312" w:cs="仿宋_GB2312"/>
          <w:kern w:val="2"/>
          <w:sz w:val="32"/>
          <w:szCs w:val="22"/>
          <w:lang w:val="en-US" w:eastAsia="zh-CN" w:bidi="ar-SA"/>
        </w:rPr>
        <w:t>对外交通：规划原乡政府驻地对外交通为绥庆公路，连接绥棱县城。</w:t>
      </w:r>
    </w:p>
    <w:p w14:paraId="5DB914B4">
      <w:pPr>
        <w:keepNext w:val="0"/>
        <w:keepLines w:val="0"/>
        <w:pageBreakBefore w:val="0"/>
        <w:widowControl/>
        <w:kinsoku w:val="0"/>
        <w:wordWrap/>
        <w:overflowPunct/>
        <w:topLinePunct w:val="0"/>
        <w:autoSpaceDE w:val="0"/>
        <w:autoSpaceDN w:val="0"/>
        <w:bidi w:val="0"/>
        <w:adjustRightInd w:val="0"/>
        <w:snapToGrid w:val="0"/>
        <w:spacing w:before="58" w:line="600" w:lineRule="exact"/>
        <w:ind w:firstLine="640" w:firstLineChars="200"/>
        <w:jc w:val="both"/>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对内交通：规划原乡政府驻地道路系统为干道交叉分布、内部方格网状的布局形态；主干路为一纵一横，主要起加强三区联系的作用；次干路以“十字交叉”结构结合主干路构成乡政府驻地的路网骨架；其余道路均为支路，与干路构成乡政府驻地的路网系统，支路系统在划分用地上具有一定的灵活性，可以根据未来乡政府驻地的需要而适当调整、优化。</w:t>
      </w:r>
      <w:bookmarkEnd w:id="166"/>
    </w:p>
    <w:p w14:paraId="33E4F870">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167" w:name="_Toc22855"/>
      <w:r>
        <w:rPr>
          <w:rFonts w:hint="eastAsia" w:ascii="Times New Roman" w:hAnsi="Times New Roman"/>
          <w:highlight w:val="none"/>
          <w:lang w:val="en-US" w:eastAsia="zh-CN"/>
        </w:rPr>
        <w:t xml:space="preserve"> </w:t>
      </w:r>
      <w:bookmarkStart w:id="168" w:name="_Toc15843"/>
      <w:r>
        <w:rPr>
          <w:rFonts w:hint="eastAsia" w:ascii="Times New Roman" w:hAnsi="Times New Roman"/>
          <w:highlight w:val="none"/>
          <w:lang w:val="en-US" w:eastAsia="zh-CN"/>
        </w:rPr>
        <w:t>风貌管控</w:t>
      </w:r>
      <w:bookmarkEnd w:id="167"/>
      <w:bookmarkEnd w:id="168"/>
    </w:p>
    <w:p w14:paraId="2722B167">
      <w:pPr>
        <w:keepNext/>
        <w:keepLines/>
        <w:pageBreakBefore w:val="0"/>
        <w:numPr>
          <w:ilvl w:val="2"/>
          <w:numId w:val="5"/>
        </w:numPr>
        <w:wordWrap/>
        <w:overflowPunct/>
        <w:topLinePunct w:val="0"/>
        <w:bidi w:val="0"/>
        <w:spacing w:line="600" w:lineRule="exact"/>
        <w:ind w:firstLineChars="0"/>
        <w:jc w:val="left"/>
        <w:outlineLvl w:val="2"/>
        <w:rPr>
          <w:rFonts w:hint="default" w:ascii="Times New Roman" w:hAnsi="Times New Roman" w:eastAsia="楷体" w:cs="Times New Roman"/>
          <w:szCs w:val="24"/>
          <w:highlight w:val="none"/>
          <w:lang w:val="en-US" w:eastAsia="zh-CN"/>
        </w:rPr>
      </w:pPr>
      <w:bookmarkStart w:id="169" w:name="_Toc13973"/>
      <w:bookmarkStart w:id="170" w:name="_Toc21922"/>
      <w:r>
        <w:rPr>
          <w:rFonts w:hint="eastAsia" w:ascii="Times New Roman" w:hAnsi="Times New Roman" w:eastAsia="楷体" w:cs="Times New Roman"/>
          <w:szCs w:val="24"/>
          <w:highlight w:val="none"/>
          <w:lang w:val="en-US" w:eastAsia="zh-CN"/>
        </w:rPr>
        <w:t xml:space="preserve"> 风貌分区与管控</w:t>
      </w:r>
      <w:bookmarkEnd w:id="169"/>
      <w:bookmarkEnd w:id="170"/>
    </w:p>
    <w:p w14:paraId="35932E05">
      <w:pPr>
        <w:keepNext w:val="0"/>
        <w:keepLines w:val="0"/>
        <w:pageBreakBefore w:val="0"/>
        <w:widowControl/>
        <w:kinsoku w:val="0"/>
        <w:wordWrap/>
        <w:overflowPunct/>
        <w:topLinePunct w:val="0"/>
        <w:autoSpaceDE w:val="0"/>
        <w:autoSpaceDN w:val="0"/>
        <w:bidi w:val="0"/>
        <w:adjustRightInd w:val="0"/>
        <w:snapToGrid w:val="0"/>
        <w:spacing w:before="101" w:line="600" w:lineRule="exact"/>
        <w:ind w:left="0" w:leftChars="0"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突出田园乡村特征，依据具体功能不同，将划分为现代农业风貌区和生态景观风貌区。现代农业区以供给水稻、玉米、大豆等农产品为主，建设规模化产业基地，发展特色高效的生态农业。生态景观区以努敏河和克音河流域为主要生态廊道，发展极具特色的农业休闲旅游业。</w:t>
      </w:r>
    </w:p>
    <w:p w14:paraId="7B2463F8">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171" w:name="_Toc30263"/>
      <w:bookmarkStart w:id="172" w:name="_Toc9457"/>
      <w:r>
        <w:rPr>
          <w:rFonts w:hint="eastAsia" w:ascii="Times New Roman" w:hAnsi="Times New Roman" w:eastAsia="楷体" w:cs="Times New Roman"/>
          <w:szCs w:val="24"/>
          <w:highlight w:val="none"/>
          <w:lang w:val="en-US" w:eastAsia="zh-CN"/>
        </w:rPr>
        <w:t xml:space="preserve"> 绿地与开敞空间的规划控制</w:t>
      </w:r>
      <w:bookmarkEnd w:id="171"/>
      <w:bookmarkEnd w:id="172"/>
    </w:p>
    <w:p w14:paraId="3C3196A9">
      <w:pPr>
        <w:keepNext w:val="0"/>
        <w:keepLines w:val="0"/>
        <w:pageBreakBefore w:val="0"/>
        <w:widowControl/>
        <w:kinsoku w:val="0"/>
        <w:wordWrap/>
        <w:overflowPunct/>
        <w:topLinePunct w:val="0"/>
        <w:autoSpaceDE w:val="0"/>
        <w:autoSpaceDN w:val="0"/>
        <w:bidi w:val="0"/>
        <w:adjustRightInd w:val="0"/>
        <w:snapToGrid w:val="0"/>
        <w:spacing w:before="101" w:line="600" w:lineRule="exact"/>
        <w:ind w:left="0" w:leftChars="0"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结合靠山乡具体地理环境，构筑开放的生态园林绿地系统，满足其生态平衡和可持续发展。</w:t>
      </w:r>
    </w:p>
    <w:p w14:paraId="587D2898">
      <w:pPr>
        <w:pageBreakBefore w:val="0"/>
        <w:widowControl/>
        <w:wordWrap/>
        <w:overflowPunct/>
        <w:topLinePunct w:val="0"/>
        <w:bidi w:val="0"/>
        <w:spacing w:line="600" w:lineRule="exact"/>
        <w:ind w:firstLine="640"/>
        <w:rPr>
          <w:rFonts w:hint="eastAsia" w:ascii="Times New Roman" w:hAnsi="Times New Roman" w:eastAsia="仿宋" w:cs="仿宋"/>
          <w:snapToGrid w:val="0"/>
          <w:color w:val="000000"/>
          <w:spacing w:val="10"/>
          <w:sz w:val="31"/>
          <w:szCs w:val="31"/>
          <w:highlight w:val="none"/>
          <w:lang w:val="en-US" w:eastAsia="zh-CN" w:bidi="ar-SA"/>
        </w:rPr>
      </w:pPr>
      <w:r>
        <w:rPr>
          <w:rFonts w:hint="eastAsia" w:ascii="Times New Roman" w:hAnsi="Times New Roman" w:eastAsia="仿宋" w:cs="仿宋"/>
          <w:snapToGrid w:val="0"/>
          <w:color w:val="000000"/>
          <w:spacing w:val="10"/>
          <w:sz w:val="31"/>
          <w:szCs w:val="31"/>
          <w:highlight w:val="none"/>
          <w:lang w:val="en-US" w:eastAsia="zh-CN" w:bidi="ar-SA"/>
        </w:rPr>
        <w:br w:type="page"/>
      </w:r>
    </w:p>
    <w:p w14:paraId="3B8456C4">
      <w:pPr>
        <w:pStyle w:val="3"/>
        <w:keepNext/>
        <w:keepLines/>
        <w:pageBreakBefore w:val="0"/>
        <w:widowControl w:val="0"/>
        <w:numPr>
          <w:ilvl w:val="0"/>
          <w:numId w:val="5"/>
        </w:numPr>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简体" w:cs="方正小标宋简体"/>
          <w:b w:val="0"/>
          <w:bCs w:val="0"/>
          <w:sz w:val="36"/>
          <w:szCs w:val="36"/>
          <w:highlight w:val="none"/>
          <w:lang w:eastAsia="zh-CN"/>
        </w:rPr>
      </w:pPr>
      <w:bookmarkStart w:id="173" w:name="_Toc5736"/>
      <w:bookmarkStart w:id="174" w:name="_Toc8974"/>
      <w:bookmarkStart w:id="175" w:name="_Toc28568"/>
      <w:bookmarkStart w:id="176" w:name="_Toc16802"/>
      <w:bookmarkStart w:id="177" w:name="_Toc31824"/>
      <w:r>
        <w:rPr>
          <w:rFonts w:hint="eastAsia" w:ascii="Times New Roman" w:hAnsi="Times New Roman" w:eastAsia="方正小标宋简体" w:cs="方正小标宋简体"/>
          <w:b w:val="0"/>
          <w:bCs w:val="0"/>
          <w:sz w:val="36"/>
          <w:szCs w:val="36"/>
          <w:highlight w:val="none"/>
          <w:lang w:eastAsia="zh-CN"/>
        </w:rPr>
        <w:t>支撑保障体系</w:t>
      </w:r>
      <w:bookmarkEnd w:id="173"/>
      <w:bookmarkEnd w:id="174"/>
      <w:bookmarkEnd w:id="175"/>
      <w:bookmarkEnd w:id="176"/>
      <w:bookmarkEnd w:id="177"/>
    </w:p>
    <w:p w14:paraId="0F338F82">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default" w:ascii="Times New Roman" w:hAnsi="Times New Roman"/>
          <w:highlight w:val="none"/>
          <w:lang w:val="en-US" w:eastAsia="zh-CN"/>
        </w:rPr>
      </w:pPr>
      <w:bookmarkStart w:id="178" w:name="bookmark51"/>
      <w:bookmarkEnd w:id="178"/>
      <w:bookmarkStart w:id="179" w:name="_Toc26393"/>
      <w:r>
        <w:rPr>
          <w:rFonts w:hint="eastAsia" w:ascii="Times New Roman" w:hAnsi="Times New Roman"/>
          <w:highlight w:val="none"/>
          <w:lang w:val="en-US" w:eastAsia="zh-CN"/>
        </w:rPr>
        <w:t xml:space="preserve"> </w:t>
      </w:r>
      <w:bookmarkStart w:id="180" w:name="_Toc20142"/>
      <w:r>
        <w:rPr>
          <w:rFonts w:hint="eastAsia" w:ascii="Times New Roman" w:hAnsi="Times New Roman"/>
          <w:highlight w:val="none"/>
          <w:lang w:val="en-US" w:eastAsia="zh-CN"/>
        </w:rPr>
        <w:t>综合交通体系</w:t>
      </w:r>
      <w:bookmarkEnd w:id="179"/>
      <w:bookmarkEnd w:id="180"/>
    </w:p>
    <w:p w14:paraId="2690E519">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eastAsia="zh-CN"/>
        </w:rPr>
      </w:pPr>
      <w:bookmarkStart w:id="181" w:name="_Toc30117"/>
      <w:bookmarkStart w:id="182" w:name="_Toc3271"/>
      <w:r>
        <w:rPr>
          <w:rFonts w:hint="eastAsia" w:ascii="Times New Roman" w:hAnsi="Times New Roman" w:eastAsia="楷体" w:cs="Times New Roman"/>
          <w:szCs w:val="24"/>
          <w:highlight w:val="none"/>
          <w:lang w:val="en-US" w:eastAsia="zh-CN"/>
        </w:rPr>
        <w:t xml:space="preserve"> 公路交通现状概况</w:t>
      </w:r>
      <w:bookmarkEnd w:id="181"/>
      <w:bookmarkEnd w:id="182"/>
    </w:p>
    <w:p w14:paraId="6A17A410">
      <w:pPr>
        <w:keepNext w:val="0"/>
        <w:keepLines w:val="0"/>
        <w:pageBreakBefore w:val="0"/>
        <w:widowControl/>
        <w:kinsoku w:val="0"/>
        <w:wordWrap/>
        <w:overflowPunct/>
        <w:topLinePunct w:val="0"/>
        <w:autoSpaceDE w:val="0"/>
        <w:autoSpaceDN w:val="0"/>
        <w:bidi w:val="0"/>
        <w:adjustRightInd w:val="0"/>
        <w:snapToGrid w:val="0"/>
        <w:spacing w:before="101" w:line="600" w:lineRule="exact"/>
        <w:ind w:left="0" w:leftChars="0"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目前靠山乡有七个行政村，涉及的交通干线包括国道333、县道167和乡道210。其中靠山乡原乡政府驻地为乡域交通中心，公路网较发达，初步形成了以靠山乡原乡政府驻地为中心，辐射全乡、联结周边地区的综合交通网络体系，乡域综合交通状况较好。</w:t>
      </w:r>
    </w:p>
    <w:p w14:paraId="7CE5E4DA">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183" w:name="_Toc20543"/>
      <w:bookmarkStart w:id="184" w:name="_Toc3529"/>
      <w:r>
        <w:rPr>
          <w:rFonts w:hint="eastAsia" w:ascii="Times New Roman" w:hAnsi="Times New Roman" w:eastAsia="楷体" w:cs="Times New Roman"/>
          <w:szCs w:val="24"/>
          <w:highlight w:val="none"/>
          <w:lang w:val="en-US" w:eastAsia="zh-CN"/>
        </w:rPr>
        <w:t xml:space="preserve"> 公路交通规划</w:t>
      </w:r>
      <w:bookmarkEnd w:id="183"/>
      <w:bookmarkEnd w:id="184"/>
    </w:p>
    <w:p w14:paraId="73B97DCB">
      <w:pPr>
        <w:keepNext w:val="0"/>
        <w:keepLines w:val="0"/>
        <w:pageBreakBefore w:val="0"/>
        <w:widowControl/>
        <w:kinsoku w:val="0"/>
        <w:wordWrap/>
        <w:overflowPunct/>
        <w:topLinePunct w:val="0"/>
        <w:autoSpaceDE w:val="0"/>
        <w:autoSpaceDN w:val="0"/>
        <w:bidi w:val="0"/>
        <w:adjustRightInd w:val="0"/>
        <w:snapToGrid w:val="0"/>
        <w:spacing w:before="101" w:line="600" w:lineRule="exact"/>
        <w:ind w:left="0" w:leftChars="0" w:firstLine="640" w:firstLineChars="200"/>
        <w:textAlignment w:val="baseline"/>
        <w:rPr>
          <w:rFonts w:hint="eastAsia" w:ascii="仿宋_GB2312" w:hAnsi="仿宋_GB2312" w:eastAsia="仿宋_GB2312" w:cs="仿宋_GB2312"/>
          <w:kern w:val="2"/>
          <w:sz w:val="32"/>
          <w:szCs w:val="22"/>
          <w:lang w:val="en-US" w:eastAsia="zh-CN" w:bidi="ar-SA"/>
        </w:rPr>
      </w:pPr>
      <w:bookmarkStart w:id="185" w:name="_Hlk174543828"/>
      <w:r>
        <w:rPr>
          <w:rFonts w:hint="eastAsia" w:ascii="仿宋_GB2312" w:hAnsi="仿宋_GB2312" w:eastAsia="仿宋_GB2312" w:cs="仿宋_GB2312"/>
          <w:kern w:val="2"/>
          <w:sz w:val="32"/>
          <w:szCs w:val="22"/>
          <w:lang w:val="en-US" w:eastAsia="zh-CN" w:bidi="ar-SA"/>
        </w:rPr>
        <w:t>改善路况：加大对现有水泥路面的维护力度，清除路面碾压痕迹、低凹以及瘪路上的坑洼等，并在必要时增加路灯、标志等配套设施，提高道路通行能力和夜间行车安全性。</w:t>
      </w:r>
    </w:p>
    <w:p w14:paraId="693E487E">
      <w:pPr>
        <w:keepNext w:val="0"/>
        <w:keepLines w:val="0"/>
        <w:pageBreakBefore w:val="0"/>
        <w:widowControl/>
        <w:kinsoku w:val="0"/>
        <w:wordWrap/>
        <w:overflowPunct/>
        <w:topLinePunct w:val="0"/>
        <w:autoSpaceDE w:val="0"/>
        <w:autoSpaceDN w:val="0"/>
        <w:bidi w:val="0"/>
        <w:adjustRightInd w:val="0"/>
        <w:snapToGrid w:val="0"/>
        <w:spacing w:before="101" w:line="600" w:lineRule="exact"/>
        <w:ind w:left="0" w:leftChars="0"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加强道路安全管理：完善靠山乡原乡政府驻地道路标志标线设置，在人流密集处建立交通信号系统，规范交通秩序，排除隐患，加强对违法停车，非机动车闯红灯等违法行为的</w:t>
      </w:r>
      <w:bookmarkStart w:id="186" w:name="bookmark54"/>
      <w:bookmarkEnd w:id="186"/>
      <w:r>
        <w:rPr>
          <w:rFonts w:hint="eastAsia" w:ascii="仿宋_GB2312" w:hAnsi="仿宋_GB2312" w:eastAsia="仿宋_GB2312" w:cs="仿宋_GB2312"/>
          <w:kern w:val="2"/>
          <w:sz w:val="32"/>
          <w:szCs w:val="22"/>
          <w:lang w:val="en-US" w:eastAsia="zh-CN" w:bidi="ar-SA"/>
        </w:rPr>
        <w:t>监管力度，确保车辆在道路上安全驾驶。</w:t>
      </w:r>
    </w:p>
    <w:bookmarkEnd w:id="185"/>
    <w:p w14:paraId="0AEFB39A">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187" w:name="_Toc23422"/>
      <w:r>
        <w:rPr>
          <w:rFonts w:hint="eastAsia" w:ascii="Times New Roman" w:hAnsi="Times New Roman"/>
          <w:highlight w:val="none"/>
          <w:lang w:val="en-US" w:eastAsia="zh-CN"/>
        </w:rPr>
        <w:t xml:space="preserve"> </w:t>
      </w:r>
      <w:bookmarkStart w:id="188" w:name="_Toc28448"/>
      <w:r>
        <w:rPr>
          <w:rFonts w:hint="eastAsia" w:ascii="Times New Roman" w:hAnsi="Times New Roman"/>
          <w:highlight w:val="none"/>
          <w:lang w:val="en-US" w:eastAsia="zh-CN"/>
        </w:rPr>
        <w:t>公共服务设施体系</w:t>
      </w:r>
      <w:bookmarkEnd w:id="187"/>
      <w:bookmarkEnd w:id="188"/>
    </w:p>
    <w:p w14:paraId="771747BB">
      <w:pPr>
        <w:keepNext/>
        <w:keepLines/>
        <w:pageBreakBefore w:val="0"/>
        <w:numPr>
          <w:ilvl w:val="2"/>
          <w:numId w:val="5"/>
        </w:numPr>
        <w:wordWrap/>
        <w:overflowPunct/>
        <w:topLinePunct w:val="0"/>
        <w:bidi w:val="0"/>
        <w:spacing w:line="600" w:lineRule="exact"/>
        <w:ind w:firstLineChars="0"/>
        <w:jc w:val="left"/>
        <w:outlineLvl w:val="2"/>
        <w:rPr>
          <w:rFonts w:hint="default" w:ascii="Times New Roman" w:hAnsi="Times New Roman" w:eastAsia="楷体" w:cs="Times New Roman"/>
          <w:szCs w:val="24"/>
          <w:highlight w:val="none"/>
          <w:lang w:val="en-US" w:eastAsia="zh-CN"/>
        </w:rPr>
      </w:pPr>
      <w:bookmarkStart w:id="189" w:name="_Toc7998"/>
      <w:r>
        <w:rPr>
          <w:rFonts w:hint="eastAsia" w:ascii="Times New Roman" w:hAnsi="Times New Roman" w:eastAsia="楷体" w:cs="Times New Roman"/>
          <w:szCs w:val="24"/>
          <w:highlight w:val="none"/>
          <w:lang w:val="en-US" w:eastAsia="zh-CN"/>
        </w:rPr>
        <w:t xml:space="preserve"> 公共服务设施规划布局</w:t>
      </w:r>
      <w:bookmarkEnd w:id="189"/>
    </w:p>
    <w:p w14:paraId="5AD4098B">
      <w:pPr>
        <w:keepNext w:val="0"/>
        <w:keepLines w:val="0"/>
        <w:pageBreakBefore w:val="0"/>
        <w:widowControl/>
        <w:kinsoku w:val="0"/>
        <w:wordWrap/>
        <w:overflowPunct/>
        <w:topLinePunct w:val="0"/>
        <w:autoSpaceDE w:val="0"/>
        <w:autoSpaceDN w:val="0"/>
        <w:bidi w:val="0"/>
        <w:adjustRightInd w:val="0"/>
        <w:snapToGrid w:val="0"/>
        <w:spacing w:before="101" w:line="600" w:lineRule="exact"/>
        <w:ind w:left="0" w:leftChars="0"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按照基本公共服务均等化合设施共建共享的原则结合乡镇和村庄的等级、规模、职能和服务功能等，综合考虑村民的出行距离、设施服务半径等因素，统筹配置教育、医疗、文化、体育、商业等公共服务设施，明确规划期间公共服务设施建设的主要任务和重点项目，引导村级公共服务资源优化整合，逐步实现乡村基本公共服务全覆盖。</w:t>
      </w:r>
    </w:p>
    <w:p w14:paraId="172A988D">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190" w:name="_Toc12347"/>
      <w:bookmarkStart w:id="191" w:name="_Toc8799"/>
      <w:r>
        <w:rPr>
          <w:rFonts w:hint="eastAsia" w:ascii="Times New Roman" w:hAnsi="Times New Roman" w:eastAsia="楷体" w:cs="Times New Roman"/>
          <w:szCs w:val="24"/>
          <w:highlight w:val="none"/>
          <w:lang w:val="en-US" w:eastAsia="zh-CN"/>
        </w:rPr>
        <w:t xml:space="preserve"> 城乡系统规划</w:t>
      </w:r>
      <w:bookmarkEnd w:id="190"/>
      <w:bookmarkEnd w:id="191"/>
    </w:p>
    <w:p w14:paraId="5120D3AD">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15分钟生活圈规划。</w:t>
      </w:r>
      <w:r>
        <w:rPr>
          <w:rFonts w:hint="eastAsia" w:ascii="仿宋_GB2312" w:hAnsi="仿宋_GB2312" w:eastAsia="仿宋_GB2312" w:cs="仿宋_GB2312"/>
          <w:kern w:val="2"/>
          <w:sz w:val="32"/>
          <w:szCs w:val="22"/>
          <w:lang w:val="en-US" w:eastAsia="zh-CN" w:bidi="ar-SA"/>
        </w:rPr>
        <w:t>建设便民利民的十五分钟城乡生活圈。宜基于乡政府驻地，结合居民生活出行特点和实际需要确定社区生活圈范围，并按照出行安全和便利的原则，尽量避免主干路、河流、山体、铁路等对其造成分割。该层级内配置面向全体居民、内容丰富、规模适宜的各类服务要素。</w:t>
      </w:r>
    </w:p>
    <w:p w14:paraId="3DDDE84F">
      <w:pPr>
        <w:keepNext w:val="0"/>
        <w:keepLines w:val="0"/>
        <w:pageBreakBefore w:val="0"/>
        <w:widowControl/>
        <w:kinsoku w:val="0"/>
        <w:wordWrap/>
        <w:overflowPunct/>
        <w:topLinePunct w:val="0"/>
        <w:autoSpaceDE w:val="0"/>
        <w:autoSpaceDN w:val="0"/>
        <w:bidi w:val="0"/>
        <w:adjustRightInd w:val="0"/>
        <w:snapToGrid w:val="0"/>
        <w:spacing w:before="101" w:line="600" w:lineRule="exact"/>
        <w:ind w:left="0" w:leftChars="0"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乡政府驻地共划定1个15分钟乡村生活圈，生活圈的服务半径约为1000米，平均人口规模为5000人，至2035年，规划乡政府驻地公共服务设施15分钟步行可达率达100%。</w:t>
      </w:r>
    </w:p>
    <w:p w14:paraId="7A9BA5FD">
      <w:pPr>
        <w:keepNext w:val="0"/>
        <w:keepLines w:val="0"/>
        <w:pageBreakBefore w:val="0"/>
        <w:widowControl/>
        <w:kinsoku w:val="0"/>
        <w:wordWrap/>
        <w:overflowPunct/>
        <w:topLinePunct w:val="0"/>
        <w:autoSpaceDE w:val="0"/>
        <w:autoSpaceDN w:val="0"/>
        <w:bidi w:val="0"/>
        <w:adjustRightInd w:val="0"/>
        <w:snapToGrid w:val="0"/>
        <w:spacing w:before="101" w:line="600" w:lineRule="exact"/>
        <w:ind w:left="0" w:leftChars="0" w:firstLine="640" w:firstLineChars="200"/>
        <w:textAlignment w:val="baseline"/>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15分钟生活圈居住区公共服务设施：文化活动站、室外综合健身场地、卫生服务站、老年活动室。</w:t>
      </w:r>
    </w:p>
    <w:p w14:paraId="38603922">
      <w:pPr>
        <w:pageBreakBefore w:val="0"/>
        <w:widowControl/>
        <w:wordWrap/>
        <w:overflowPunct/>
        <w:topLinePunct w:val="0"/>
        <w:bidi w:val="0"/>
        <w:spacing w:line="600" w:lineRule="exact"/>
        <w:ind w:firstLine="640"/>
        <w:rPr>
          <w:rFonts w:hint="eastAsia" w:ascii="仿宋_GB2312" w:hAnsi="仿宋_GB2312" w:eastAsia="仿宋_GB2312" w:cs="仿宋_GB2312"/>
          <w:kern w:val="2"/>
          <w:sz w:val="32"/>
          <w:szCs w:val="22"/>
          <w:lang w:val="en-US" w:eastAsia="zh-CN" w:bidi="ar-SA"/>
        </w:rPr>
      </w:pPr>
      <w:r>
        <w:rPr>
          <w:rFonts w:hint="eastAsia" w:ascii="Times New Roman" w:hAnsi="Times New Roman" w:eastAsia="楷体" w:cs="仿宋"/>
          <w:color w:val="000000"/>
          <w:kern w:val="0"/>
          <w:szCs w:val="32"/>
          <w:highlight w:val="none"/>
          <w:lang w:eastAsia="zh-CN" w:bidi="ar"/>
        </w:rPr>
        <w:t>10分钟生活圈规划。</w:t>
      </w:r>
      <w:r>
        <w:rPr>
          <w:rFonts w:hint="eastAsia" w:ascii="仿宋_GB2312" w:hAnsi="仿宋_GB2312" w:eastAsia="仿宋_GB2312" w:cs="仿宋_GB2312"/>
          <w:kern w:val="2"/>
          <w:sz w:val="32"/>
          <w:szCs w:val="22"/>
          <w:lang w:val="en-US" w:eastAsia="zh-CN" w:bidi="ar-SA"/>
        </w:rPr>
        <w:t>结合中心村服务范围，配置城乡居民日常使用，特别是面向老人、儿童的基本服务要素。10分钟层级服务要素宜灵活均衡布局，并与生活性街道、公共空间、绿道临近设置，保障老人、儿童的便捷友好使用。</w:t>
      </w:r>
    </w:p>
    <w:p w14:paraId="017344F2">
      <w:pPr>
        <w:pageBreakBefore w:val="0"/>
        <w:widowControl/>
        <w:wordWrap/>
        <w:overflowPunct/>
        <w:topLinePunct w:val="0"/>
        <w:bidi w:val="0"/>
        <w:spacing w:line="600" w:lineRule="exact"/>
        <w:ind w:firstLine="640"/>
        <w:rPr>
          <w:rFonts w:hint="eastAsia" w:ascii="Times New Roman" w:hAnsi="Times New Roman" w:eastAsia="仿宋GB2312" w:cs="仿宋"/>
          <w:color w:val="000000"/>
          <w:kern w:val="0"/>
          <w:szCs w:val="32"/>
          <w:highlight w:val="none"/>
          <w:lang w:eastAsia="zh-CN" w:bidi="ar"/>
        </w:rPr>
      </w:pPr>
      <w:r>
        <w:rPr>
          <w:rFonts w:hint="eastAsia" w:ascii="仿宋_GB2312" w:hAnsi="仿宋_GB2312" w:eastAsia="仿宋_GB2312" w:cs="仿宋_GB2312"/>
          <w:kern w:val="2"/>
          <w:sz w:val="32"/>
          <w:szCs w:val="22"/>
          <w:lang w:val="en-US" w:eastAsia="zh-CN" w:bidi="ar-SA"/>
        </w:rPr>
        <w:t>10分钟生活圈居住区公共服务设施：幼儿园、文化活动室、老年活动室、村务室、村卫生室、健身广场。</w:t>
      </w:r>
    </w:p>
    <w:p w14:paraId="0A0E0979">
      <w:pPr>
        <w:pageBreakBefore w:val="0"/>
        <w:wordWrap/>
        <w:overflowPunct/>
        <w:topLinePunct w:val="0"/>
        <w:bidi w:val="0"/>
        <w:spacing w:line="600" w:lineRule="exact"/>
        <w:rPr>
          <w:rFonts w:hint="eastAsia" w:ascii="Times New Roman" w:hAnsi="Times New Roman" w:eastAsia="仿宋" w:cs="仿宋"/>
          <w:snapToGrid w:val="0"/>
          <w:color w:val="000000"/>
          <w:spacing w:val="3"/>
          <w:kern w:val="0"/>
          <w:sz w:val="31"/>
          <w:szCs w:val="31"/>
          <w:highlight w:val="none"/>
          <w:lang w:eastAsia="zh-CN"/>
        </w:rPr>
      </w:pPr>
      <w:r>
        <w:rPr>
          <w:rFonts w:hint="eastAsia" w:ascii="Times New Roman" w:hAnsi="Times New Roman" w:eastAsia="仿宋" w:cs="仿宋"/>
          <w:snapToGrid w:val="0"/>
          <w:color w:val="000000"/>
          <w:spacing w:val="3"/>
          <w:kern w:val="0"/>
          <w:sz w:val="31"/>
          <w:szCs w:val="31"/>
          <w:highlight w:val="none"/>
          <w:lang w:eastAsia="zh-CN"/>
        </w:rPr>
        <w:br w:type="page"/>
      </w:r>
    </w:p>
    <w:p w14:paraId="6F291818">
      <w:pPr>
        <w:pStyle w:val="3"/>
        <w:keepNext/>
        <w:keepLines/>
        <w:pageBreakBefore w:val="0"/>
        <w:widowControl w:val="0"/>
        <w:numPr>
          <w:ilvl w:val="0"/>
          <w:numId w:val="5"/>
        </w:numPr>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简体" w:cs="方正小标宋简体"/>
          <w:b w:val="0"/>
          <w:bCs w:val="0"/>
          <w:sz w:val="36"/>
          <w:szCs w:val="36"/>
          <w:highlight w:val="none"/>
          <w:lang w:val="en-US" w:eastAsia="zh-CN"/>
        </w:rPr>
      </w:pPr>
      <w:bookmarkStart w:id="192" w:name="_Toc17853"/>
      <w:bookmarkStart w:id="193" w:name="_Toc26851"/>
      <w:r>
        <w:rPr>
          <w:rFonts w:hint="eastAsia" w:ascii="Times New Roman" w:hAnsi="Times New Roman" w:eastAsia="方正小标宋简体" w:cs="方正小标宋简体"/>
          <w:b w:val="0"/>
          <w:bCs w:val="0"/>
          <w:sz w:val="36"/>
          <w:szCs w:val="36"/>
          <w:highlight w:val="none"/>
          <w:lang w:val="en-US" w:eastAsia="zh-CN"/>
        </w:rPr>
        <w:t>规划传导与实施</w:t>
      </w:r>
      <w:bookmarkEnd w:id="192"/>
      <w:bookmarkEnd w:id="193"/>
    </w:p>
    <w:p w14:paraId="6A4B2156">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194" w:name="bookmark79"/>
      <w:bookmarkEnd w:id="194"/>
      <w:bookmarkStart w:id="195" w:name="_Toc19724"/>
      <w:r>
        <w:rPr>
          <w:rFonts w:hint="eastAsia" w:ascii="Times New Roman" w:hAnsi="Times New Roman"/>
          <w:highlight w:val="none"/>
          <w:lang w:val="en-US" w:eastAsia="zh-CN"/>
        </w:rPr>
        <w:t xml:space="preserve"> </w:t>
      </w:r>
      <w:bookmarkStart w:id="196" w:name="_Toc11771"/>
      <w:r>
        <w:rPr>
          <w:rFonts w:hint="eastAsia" w:ascii="Times New Roman" w:hAnsi="Times New Roman"/>
          <w:highlight w:val="none"/>
          <w:lang w:val="en-US" w:eastAsia="zh-CN"/>
        </w:rPr>
        <w:t>规划传导与管控</w:t>
      </w:r>
      <w:bookmarkEnd w:id="195"/>
      <w:bookmarkEnd w:id="196"/>
    </w:p>
    <w:p w14:paraId="5A7703BC">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197" w:name="_Toc1394"/>
      <w:bookmarkStart w:id="198" w:name="_Toc3812"/>
      <w:r>
        <w:rPr>
          <w:rFonts w:hint="eastAsia" w:ascii="Times New Roman" w:hAnsi="Times New Roman" w:eastAsia="楷体" w:cs="Times New Roman"/>
          <w:szCs w:val="24"/>
          <w:highlight w:val="none"/>
          <w:lang w:val="en-US" w:eastAsia="zh-CN"/>
        </w:rPr>
        <w:t xml:space="preserve"> 构建规划传导管控体系</w:t>
      </w:r>
      <w:bookmarkEnd w:id="197"/>
      <w:bookmarkEnd w:id="198"/>
    </w:p>
    <w:p w14:paraId="5758F883">
      <w:pPr>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落实空间规划体系的传导和管控要求，纵向发挥对乡村级层次国土空间总体规划和详细规划的管控引导作用，横向发挥对各类专项规划的指导和约束作用。</w:t>
      </w:r>
    </w:p>
    <w:p w14:paraId="23629A5B">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199" w:name="_Toc31233"/>
      <w:bookmarkStart w:id="200" w:name="_Toc17774"/>
      <w:r>
        <w:rPr>
          <w:rFonts w:hint="eastAsia" w:ascii="Times New Roman" w:hAnsi="Times New Roman" w:eastAsia="楷体" w:cs="Times New Roman"/>
          <w:szCs w:val="24"/>
          <w:highlight w:val="none"/>
          <w:lang w:val="en-US" w:eastAsia="zh-CN"/>
        </w:rPr>
        <w:t xml:space="preserve"> 对相关专项规划的指导</w:t>
      </w:r>
      <w:bookmarkEnd w:id="199"/>
      <w:bookmarkEnd w:id="200"/>
    </w:p>
    <w:p w14:paraId="5ABFEAF2">
      <w:pPr>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以国土空间总体规划明确的目标作为各专项规划的总体目标，按照各专项规划需求细化分解。</w:t>
      </w:r>
    </w:p>
    <w:p w14:paraId="68BF2005">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201" w:name="_Toc22941"/>
      <w:bookmarkStart w:id="202" w:name="_Toc2665"/>
      <w:r>
        <w:rPr>
          <w:rFonts w:hint="eastAsia" w:ascii="Times New Roman" w:hAnsi="Times New Roman" w:eastAsia="楷体" w:cs="Times New Roman"/>
          <w:szCs w:val="24"/>
          <w:highlight w:val="none"/>
          <w:lang w:val="en-US" w:eastAsia="zh-CN"/>
        </w:rPr>
        <w:t xml:space="preserve"> 健全国土空间用途管制制度</w:t>
      </w:r>
      <w:bookmarkEnd w:id="201"/>
      <w:bookmarkEnd w:id="202"/>
    </w:p>
    <w:p w14:paraId="75DBDAA8">
      <w:pPr>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以《规划》为依据，建立健全统一的全域、全要素国土空间用途管制制度。</w:t>
      </w:r>
    </w:p>
    <w:p w14:paraId="7435A05A">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203" w:name="_Toc27305"/>
      <w:bookmarkStart w:id="204" w:name="_Toc9320"/>
      <w:r>
        <w:rPr>
          <w:rFonts w:hint="eastAsia" w:ascii="Times New Roman" w:hAnsi="Times New Roman" w:eastAsia="楷体" w:cs="Times New Roman"/>
          <w:szCs w:val="24"/>
          <w:highlight w:val="none"/>
          <w:lang w:val="en-US" w:eastAsia="zh-CN"/>
        </w:rPr>
        <w:t xml:space="preserve"> 加强土地利用年度计划管理</w:t>
      </w:r>
      <w:bookmarkEnd w:id="203"/>
      <w:bookmarkEnd w:id="204"/>
    </w:p>
    <w:p w14:paraId="02A019F0">
      <w:pPr>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依据《规划》统筹相关专项规划的空间需求和国家下达的年度土地利用计划等控制指标，结合经济社会发展水平</w:t>
      </w:r>
      <w:bookmarkStart w:id="205" w:name="bookmark84"/>
      <w:bookmarkEnd w:id="205"/>
      <w:r>
        <w:rPr>
          <w:rFonts w:hint="eastAsia" w:ascii="仿宋_GB2312" w:hAnsi="仿宋_GB2312" w:eastAsia="仿宋_GB2312" w:cs="仿宋_GB2312"/>
          <w:kern w:val="2"/>
          <w:sz w:val="32"/>
          <w:szCs w:val="22"/>
          <w:lang w:val="en-US" w:eastAsia="zh-CN" w:bidi="ar-SA"/>
        </w:rPr>
        <w:t>和节约集约用地状况等，科学编制土地利用年度计划。</w:t>
      </w:r>
    </w:p>
    <w:p w14:paraId="10B8DAFC">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206" w:name="_Toc6255"/>
      <w:r>
        <w:rPr>
          <w:rFonts w:hint="eastAsia" w:ascii="Times New Roman" w:hAnsi="Times New Roman"/>
          <w:highlight w:val="none"/>
          <w:lang w:val="en-US" w:eastAsia="zh-CN"/>
        </w:rPr>
        <w:t xml:space="preserve"> </w:t>
      </w:r>
      <w:bookmarkStart w:id="207" w:name="_Toc13623"/>
      <w:r>
        <w:rPr>
          <w:rFonts w:hint="eastAsia" w:ascii="Times New Roman" w:hAnsi="Times New Roman"/>
          <w:highlight w:val="none"/>
          <w:lang w:val="en-US" w:eastAsia="zh-CN"/>
        </w:rPr>
        <w:t>规划实施</w:t>
      </w:r>
      <w:bookmarkEnd w:id="206"/>
      <w:bookmarkEnd w:id="207"/>
    </w:p>
    <w:p w14:paraId="2F23D98E">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208" w:name="_Toc16338"/>
      <w:bookmarkStart w:id="209" w:name="_Toc9433"/>
      <w:r>
        <w:rPr>
          <w:rFonts w:hint="eastAsia" w:ascii="Times New Roman" w:hAnsi="Times New Roman" w:eastAsia="楷体" w:cs="Times New Roman"/>
          <w:szCs w:val="24"/>
          <w:highlight w:val="none"/>
          <w:lang w:val="en-US" w:eastAsia="zh-CN"/>
        </w:rPr>
        <w:t xml:space="preserve"> 近期建设</w:t>
      </w:r>
      <w:bookmarkEnd w:id="208"/>
      <w:bookmarkEnd w:id="209"/>
    </w:p>
    <w:p w14:paraId="683DF238">
      <w:pPr>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kern w:val="2"/>
          <w:sz w:val="32"/>
          <w:szCs w:val="22"/>
          <w:lang w:val="en-US" w:eastAsia="zh-CN" w:bidi="ar-SA"/>
        </w:rPr>
      </w:pPr>
      <w:r>
        <w:rPr>
          <w:rFonts w:hint="eastAsia" w:ascii="楷体" w:hAnsi="楷体" w:eastAsia="楷体" w:cs="楷体"/>
          <w:color w:val="000000"/>
          <w:kern w:val="0"/>
          <w:szCs w:val="32"/>
          <w:highlight w:val="none"/>
          <w:lang w:eastAsia="zh-CN" w:bidi="ar"/>
        </w:rPr>
        <w:t>加强交通基础设施建设。</w:t>
      </w:r>
      <w:r>
        <w:rPr>
          <w:rFonts w:hint="eastAsia" w:ascii="仿宋_GB2312" w:hAnsi="仿宋_GB2312" w:eastAsia="仿宋_GB2312" w:cs="仿宋_GB2312"/>
          <w:kern w:val="2"/>
          <w:sz w:val="32"/>
          <w:szCs w:val="22"/>
          <w:lang w:val="en-US" w:eastAsia="zh-CN" w:bidi="ar-SA"/>
        </w:rPr>
        <w:t>实施农村公路改建工程、乡村路网新建工程、路网畅通工程等交通项目，完善交通主骨架网，强化与乡村之间主要联系通道，改善各乡村的交通可达性。</w:t>
      </w:r>
    </w:p>
    <w:p w14:paraId="293E8227">
      <w:pPr>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kern w:val="2"/>
          <w:sz w:val="32"/>
          <w:szCs w:val="22"/>
          <w:lang w:val="en-US" w:eastAsia="zh-CN" w:bidi="ar-SA"/>
        </w:rPr>
      </w:pPr>
      <w:r>
        <w:rPr>
          <w:rFonts w:hint="eastAsia" w:ascii="楷体" w:hAnsi="楷体" w:eastAsia="楷体" w:cs="楷体"/>
          <w:color w:val="000000"/>
          <w:kern w:val="0"/>
          <w:szCs w:val="32"/>
          <w:highlight w:val="none"/>
          <w:lang w:eastAsia="zh-CN" w:bidi="ar"/>
        </w:rPr>
        <w:t>加强水利基础设施建设。</w:t>
      </w:r>
      <w:r>
        <w:rPr>
          <w:rFonts w:hint="eastAsia" w:ascii="仿宋_GB2312" w:hAnsi="仿宋_GB2312" w:eastAsia="仿宋_GB2312" w:cs="仿宋_GB2312"/>
          <w:kern w:val="2"/>
          <w:sz w:val="32"/>
          <w:szCs w:val="22"/>
          <w:lang w:val="en-US" w:eastAsia="zh-CN" w:bidi="ar-SA"/>
        </w:rPr>
        <w:t>积极完善防洪减灾、水生态修复治理及水利信息化等设施建设，着力实施水资源配置及供水保障能力提升工程、防洪排涝减灾及水利信息化工程、河湖及水生态水环境保护综合治理工程、水资源高效利用工程，全面提升水利保障能力。</w:t>
      </w:r>
    </w:p>
    <w:p w14:paraId="73BD79D5">
      <w:pPr>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kern w:val="2"/>
          <w:sz w:val="32"/>
          <w:szCs w:val="22"/>
          <w:lang w:val="en-US" w:eastAsia="zh-CN" w:bidi="ar-SA"/>
        </w:rPr>
      </w:pPr>
      <w:r>
        <w:rPr>
          <w:rFonts w:hint="eastAsia" w:ascii="楷体" w:hAnsi="楷体" w:eastAsia="楷体" w:cs="楷体"/>
          <w:color w:val="000000"/>
          <w:kern w:val="0"/>
          <w:szCs w:val="32"/>
          <w:highlight w:val="none"/>
          <w:lang w:eastAsia="zh-CN" w:bidi="ar"/>
        </w:rPr>
        <w:t>强化支撑体系。</w:t>
      </w:r>
      <w:r>
        <w:rPr>
          <w:rFonts w:hint="eastAsia" w:ascii="仿宋_GB2312" w:hAnsi="仿宋_GB2312" w:eastAsia="仿宋_GB2312" w:cs="仿宋_GB2312"/>
          <w:kern w:val="2"/>
          <w:sz w:val="32"/>
          <w:szCs w:val="22"/>
          <w:lang w:val="en-US" w:eastAsia="zh-CN" w:bidi="ar-SA"/>
        </w:rPr>
        <w:t>对实施富国村、光芒村水利设施改造工程，做好农村安全饮水、小河道治理、农田水利等的维修改造。</w:t>
      </w:r>
    </w:p>
    <w:p w14:paraId="5F5D0400">
      <w:pPr>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kern w:val="2"/>
          <w:sz w:val="32"/>
          <w:szCs w:val="22"/>
          <w:lang w:val="en-US" w:eastAsia="zh-CN" w:bidi="ar-SA"/>
        </w:rPr>
      </w:pPr>
      <w:r>
        <w:rPr>
          <w:rFonts w:hint="eastAsia" w:ascii="楷体" w:hAnsi="楷体" w:eastAsia="楷体" w:cs="楷体"/>
          <w:color w:val="000000"/>
          <w:kern w:val="0"/>
          <w:szCs w:val="32"/>
          <w:highlight w:val="none"/>
          <w:lang w:eastAsia="zh-CN" w:bidi="ar"/>
        </w:rPr>
        <w:t>加强生态环境保护。</w:t>
      </w:r>
      <w:r>
        <w:rPr>
          <w:rFonts w:hint="eastAsia" w:ascii="仿宋_GB2312" w:hAnsi="仿宋_GB2312" w:eastAsia="仿宋_GB2312" w:cs="仿宋_GB2312"/>
          <w:kern w:val="2"/>
          <w:sz w:val="32"/>
          <w:szCs w:val="22"/>
          <w:lang w:val="en-US" w:eastAsia="zh-CN" w:bidi="ar-SA"/>
        </w:rPr>
        <w:t>全面治理努敏河与克音河水污染，确保努敏河与克音河水质稳定持续改善。推进城郊绿带、努敏河支流两岸重点地区绿地等重点绿化项目建设，积极发展立体绿化，优化乡政府驻地绿色慢行空间。建设生活垃圾分拣站，有序推进生活垃圾分类和减量。加强农村环境整治，提高农村饮用水合格率、生活垃圾处理率、污水处理率</w:t>
      </w:r>
      <w:bookmarkStart w:id="210" w:name="bookmark86"/>
      <w:bookmarkEnd w:id="210"/>
      <w:r>
        <w:rPr>
          <w:rFonts w:hint="eastAsia" w:ascii="仿宋_GB2312" w:hAnsi="仿宋_GB2312" w:eastAsia="仿宋_GB2312" w:cs="仿宋_GB2312"/>
          <w:kern w:val="2"/>
          <w:sz w:val="32"/>
          <w:szCs w:val="22"/>
          <w:lang w:val="en-US" w:eastAsia="zh-CN" w:bidi="ar-SA"/>
        </w:rPr>
        <w:t>和粪污无害化处理率。</w:t>
      </w:r>
    </w:p>
    <w:p w14:paraId="534439DB">
      <w:pPr>
        <w:pStyle w:val="4"/>
        <w:keepNext/>
        <w:keepLines/>
        <w:pageBreakBefore w:val="0"/>
        <w:widowControl w:val="0"/>
        <w:numPr>
          <w:ilvl w:val="1"/>
          <w:numId w:val="5"/>
        </w:numPr>
        <w:kinsoku/>
        <w:wordWrap/>
        <w:overflowPunct/>
        <w:topLinePunct w:val="0"/>
        <w:autoSpaceDE/>
        <w:autoSpaceDN/>
        <w:bidi w:val="0"/>
        <w:adjustRightInd/>
        <w:snapToGrid/>
        <w:spacing w:before="0" w:after="0" w:line="600" w:lineRule="exact"/>
        <w:textAlignment w:val="auto"/>
        <w:rPr>
          <w:rFonts w:hint="eastAsia" w:ascii="Times New Roman" w:hAnsi="Times New Roman"/>
          <w:highlight w:val="none"/>
          <w:lang w:val="en-US" w:eastAsia="zh-CN"/>
        </w:rPr>
      </w:pPr>
      <w:bookmarkStart w:id="211" w:name="_Toc32053"/>
      <w:r>
        <w:rPr>
          <w:rFonts w:hint="eastAsia" w:ascii="Times New Roman" w:hAnsi="Times New Roman"/>
          <w:highlight w:val="none"/>
          <w:lang w:val="en-US" w:eastAsia="zh-CN"/>
        </w:rPr>
        <w:t xml:space="preserve"> </w:t>
      </w:r>
      <w:bookmarkStart w:id="212" w:name="_Toc4880"/>
      <w:r>
        <w:rPr>
          <w:rFonts w:hint="eastAsia" w:ascii="Times New Roman" w:hAnsi="Times New Roman"/>
          <w:highlight w:val="none"/>
          <w:lang w:val="en-US" w:eastAsia="zh-CN"/>
        </w:rPr>
        <w:t>实施保障</w:t>
      </w:r>
      <w:bookmarkEnd w:id="211"/>
      <w:bookmarkEnd w:id="212"/>
    </w:p>
    <w:p w14:paraId="08FD6739">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213" w:name="_Toc26234"/>
      <w:bookmarkStart w:id="214" w:name="_Toc12441"/>
      <w:r>
        <w:rPr>
          <w:rFonts w:hint="eastAsia" w:ascii="Times New Roman" w:hAnsi="Times New Roman" w:eastAsia="楷体" w:cs="Times New Roman"/>
          <w:szCs w:val="24"/>
          <w:highlight w:val="none"/>
          <w:lang w:val="en-US" w:eastAsia="zh-CN"/>
        </w:rPr>
        <w:t xml:space="preserve"> 建立规划动态评估调整机制</w:t>
      </w:r>
      <w:bookmarkEnd w:id="213"/>
      <w:bookmarkEnd w:id="214"/>
    </w:p>
    <w:p w14:paraId="67B2E222">
      <w:pPr>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按照国土空间规划体检评估要求，建立规划动态评估调整机制，开展定期体检和五年一评估，将国土空间规划体检评估结果作为编制、审批、修改规划和审计、执法、督察的重要参考。规划实施过程中，因国家重大战略和项目实施、重大政策调整、经济社会发展条件发生重大变化、发生重大自然灾害等需要修改规划的，规划编制机关可以按程序修改规划，报原规划审批机关批准。</w:t>
      </w:r>
    </w:p>
    <w:p w14:paraId="38E6582D">
      <w:pPr>
        <w:keepNext/>
        <w:keepLines/>
        <w:pageBreakBefore w:val="0"/>
        <w:numPr>
          <w:ilvl w:val="2"/>
          <w:numId w:val="5"/>
        </w:numPr>
        <w:wordWrap/>
        <w:overflowPunct/>
        <w:topLinePunct w:val="0"/>
        <w:bidi w:val="0"/>
        <w:spacing w:line="600" w:lineRule="exact"/>
        <w:ind w:firstLineChars="0"/>
        <w:jc w:val="left"/>
        <w:outlineLvl w:val="2"/>
        <w:rPr>
          <w:rFonts w:hint="eastAsia" w:ascii="Times New Roman" w:hAnsi="Times New Roman" w:eastAsia="楷体" w:cs="Times New Roman"/>
          <w:szCs w:val="24"/>
          <w:highlight w:val="none"/>
          <w:lang w:val="en-US" w:eastAsia="zh-CN"/>
        </w:rPr>
      </w:pPr>
      <w:bookmarkStart w:id="215" w:name="_Toc32543"/>
      <w:bookmarkStart w:id="216" w:name="_Toc311"/>
      <w:r>
        <w:rPr>
          <w:rFonts w:hint="eastAsia" w:ascii="Times New Roman" w:hAnsi="Times New Roman" w:eastAsia="楷体" w:cs="Times New Roman"/>
          <w:szCs w:val="24"/>
          <w:highlight w:val="none"/>
          <w:lang w:val="en-US" w:eastAsia="zh-CN"/>
        </w:rPr>
        <w:t xml:space="preserve"> 切实落实公众参与</w:t>
      </w:r>
      <w:bookmarkEnd w:id="215"/>
      <w:bookmarkEnd w:id="216"/>
    </w:p>
    <w:p w14:paraId="5D63AC3B">
      <w:pPr>
        <w:keepNext w:val="0"/>
        <w:keepLines w:val="0"/>
        <w:pageBreakBefore w:val="0"/>
        <w:widowControl/>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kern w:val="2"/>
          <w:sz w:val="32"/>
          <w:szCs w:val="22"/>
          <w:lang w:val="en-US" w:eastAsia="zh-CN" w:bidi="ar-SA"/>
        </w:rPr>
      </w:pPr>
      <w:r>
        <w:rPr>
          <w:rFonts w:hint="eastAsia" w:ascii="仿宋_GB2312" w:hAnsi="仿宋_GB2312" w:eastAsia="仿宋_GB2312" w:cs="仿宋_GB2312"/>
          <w:kern w:val="2"/>
          <w:sz w:val="32"/>
          <w:szCs w:val="22"/>
          <w:lang w:val="en-US" w:eastAsia="zh-CN" w:bidi="ar-SA"/>
        </w:rPr>
        <w:t>推进公众参与的法制化和制度化。让公众通过法定的程序和渠道有效地参与规划实施的决策和监督。加强对总体规划的宣传，将公众参与引入规划编制和管理的各个阶段。提高全社会对总体规划及实施重要性的认识，增强规划意识，提高维护和执行规划的自觉性，推进规划的实施。</w:t>
      </w:r>
    </w:p>
    <w:bookmarkEnd w:id="8"/>
    <w:p w14:paraId="3F72F76A">
      <w:pPr>
        <w:pageBreakBefore w:val="0"/>
        <w:wordWrap/>
        <w:overflowPunct/>
        <w:topLinePunct w:val="0"/>
        <w:bidi w:val="0"/>
        <w:spacing w:line="600" w:lineRule="exact"/>
        <w:ind w:left="0" w:leftChars="0" w:firstLine="0" w:firstLineChars="0"/>
        <w:rPr>
          <w:rFonts w:hint="eastAsia" w:ascii="Times New Roman" w:hAnsi="Times New Roman" w:eastAsia="仿宋GB2312" w:cs="仿宋"/>
          <w:color w:val="000000"/>
          <w:kern w:val="0"/>
          <w:szCs w:val="32"/>
          <w:highlight w:val="none"/>
          <w:lang w:val="en-US" w:eastAsia="zh-CN" w:bidi="ar"/>
        </w:rPr>
      </w:pPr>
    </w:p>
    <w:sectPr>
      <w:headerReference r:id="rId15" w:type="default"/>
      <w:footerReference r:id="rId16"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C16FF4F-6A29-4B80-97EE-09CCA6EF91D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7D39532C-4F13-484F-99D9-56701B7483B4}"/>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embedRegular r:id="rId3" w:fontKey="{D0577DE2-280B-48A9-ABB5-72047E34185F}"/>
  </w:font>
  <w:font w:name="仿宋">
    <w:panose1 w:val="02010609060101010101"/>
    <w:charset w:val="86"/>
    <w:family w:val="modern"/>
    <w:pitch w:val="default"/>
    <w:sig w:usb0="800002BF" w:usb1="38CF7CFA" w:usb2="00000016" w:usb3="00000000" w:csb0="00040001" w:csb1="00000000"/>
    <w:embedRegular r:id="rId4" w:fontKey="{B5E6DB0C-AF33-4865-8D96-A6FBF8A871F2}"/>
  </w:font>
  <w:font w:name="MicrosoftYaHei">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embedRegular r:id="rId5" w:fontKey="{08EAFD98-9DFD-4B5D-BAFF-7D90DFC11B87}"/>
  </w:font>
  <w:font w:name="仿宋GB2312">
    <w:altName w:val="宋体"/>
    <w:panose1 w:val="00000000000000000000"/>
    <w:charset w:val="86"/>
    <w:family w:val="roman"/>
    <w:pitch w:val="default"/>
    <w:sig w:usb0="00000000" w:usb1="00000000" w:usb2="00000000" w:usb3="00000000" w:csb0="00000000" w:csb1="00000000"/>
    <w:embedRegular r:id="rId6" w:fontKey="{AF317287-FE23-4F66-914C-27A482A1D973}"/>
  </w:font>
  <w:font w:name="WPSEMBED2">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7D0F4">
    <w:pPr>
      <w:ind w:firstLine="640"/>
      <w:jc w:val="center"/>
      <w:rPr>
        <w:szCs w:val="21"/>
      </w:rPr>
    </w:pPr>
  </w:p>
  <w:p w14:paraId="4B97C609">
    <w:pPr>
      <w:ind w:firstLine="6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94D14">
    <w:pPr>
      <w:pStyle w:val="2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72443">
    <w:pPr>
      <w:pStyle w:val="2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0ED41">
    <w:pPr>
      <w:ind w:firstLine="640"/>
      <w:jc w:val="center"/>
      <w:rPr>
        <w:szCs w:val="21"/>
      </w:rPr>
    </w:pPr>
  </w:p>
  <w:p w14:paraId="4741CDE0">
    <w:pPr>
      <w:ind w:firstLine="64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E7DDB">
    <w:pPr>
      <w:pStyle w:val="22"/>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3FD98">
    <w:pPr>
      <w:pStyle w:val="22"/>
      <w:ind w:firstLine="360"/>
      <w:jc w:val="center"/>
      <w:rPr>
        <w:rFonts w:ascii="Times New Roman" w:hAnsi="Times New Roman" w:cs="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7567"/>
                          </w:sdtPr>
                          <w:sdtEndPr>
                            <w:rPr>
                              <w:rFonts w:ascii="Times New Roman" w:hAnsi="Times New Roman" w:cs="Times New Roman"/>
                            </w:rPr>
                          </w:sdtEndPr>
                          <w:sdtContent>
                            <w:p w14:paraId="7A36C478">
                              <w:pPr>
                                <w:pStyle w:val="22"/>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14</w:t>
                              </w:r>
                              <w:r>
                                <w:rPr>
                                  <w:rFonts w:ascii="Times New Roman" w:hAnsi="Times New Roman" w:cs="Times New Roman"/>
                                </w:rPr>
                                <w:fldChar w:fldCharType="end"/>
                              </w:r>
                            </w:p>
                          </w:sdtContent>
                        </w:sdt>
                        <w:p w14:paraId="515E3AE4">
                          <w:pPr>
                            <w:rPr>
                              <w:rFonts w:ascii="Times New Roman" w:hAnsi="Times New Roman" w:cs="Times New Roma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47467567"/>
                    </w:sdtPr>
                    <w:sdtEndPr>
                      <w:rPr>
                        <w:rFonts w:ascii="Times New Roman" w:hAnsi="Times New Roman" w:cs="Times New Roman"/>
                      </w:rPr>
                    </w:sdtEndPr>
                    <w:sdtContent>
                      <w:p w14:paraId="7A36C478">
                        <w:pPr>
                          <w:pStyle w:val="22"/>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14</w:t>
                        </w:r>
                        <w:r>
                          <w:rPr>
                            <w:rFonts w:ascii="Times New Roman" w:hAnsi="Times New Roman" w:cs="Times New Roman"/>
                          </w:rPr>
                          <w:fldChar w:fldCharType="end"/>
                        </w:r>
                      </w:p>
                    </w:sdtContent>
                  </w:sdt>
                  <w:p w14:paraId="515E3AE4">
                    <w:pPr>
                      <w:rPr>
                        <w:rFonts w:ascii="Times New Roman" w:hAnsi="Times New Roman" w:cs="Times New Roman"/>
                      </w:rPr>
                    </w:pPr>
                  </w:p>
                </w:txbxContent>
              </v:textbox>
            </v:shape>
          </w:pict>
        </mc:Fallback>
      </mc:AlternateContent>
    </w:r>
  </w:p>
  <w:p w14:paraId="33A0343A">
    <w:pPr>
      <w:pStyle w:val="2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104CD">
    <w:pPr>
      <w:pStyle w:val="23"/>
      <w:pBdr>
        <w:bottom w:val="none" w:color="auto" w:sz="0" w:space="1"/>
      </w:pBdr>
      <w:ind w:firstLine="360"/>
      <w:rPr>
        <w:rFonts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FCD6F">
    <w:pPr>
      <w:pStyle w:val="2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48075">
    <w:pPr>
      <w:pStyle w:val="23"/>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17F1C">
    <w:pPr>
      <w:pStyle w:val="23"/>
      <w:pBdr>
        <w:bottom w:val="none" w:color="auto" w:sz="0" w:space="1"/>
      </w:pBdr>
      <w:ind w:firstLine="360"/>
      <w:rPr>
        <w:rFonts w:ascii="宋体" w:hAnsi="宋体"/>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F234F">
    <w:pPr>
      <w:pStyle w:val="23"/>
      <w:pBdr>
        <w:bottom w:val="none" w:color="auto" w:sz="0" w:space="1"/>
      </w:pBdr>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61A95">
    <w:pPr>
      <w:pStyle w:val="23"/>
      <w:ind w:firstLine="360"/>
    </w:pPr>
    <w:r>
      <w:rPr>
        <w:rFonts w:hint="eastAsia"/>
        <w:lang w:val="en-US" w:eastAsia="zh-CN"/>
      </w:rPr>
      <w:t>靠山乡</w:t>
    </w:r>
    <w:r>
      <w:rPr>
        <w:rFonts w:hint="eastAsia"/>
      </w:rPr>
      <w:t>国土空间总体规划（202</w:t>
    </w:r>
    <w:r>
      <w:t>1</w:t>
    </w:r>
    <w:r>
      <w:rPr>
        <w:rFonts w:hint="eastAsia"/>
      </w:rPr>
      <w:t>-2035年）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686E21"/>
    <w:multiLevelType w:val="singleLevel"/>
    <w:tmpl w:val="B8686E21"/>
    <w:lvl w:ilvl="0" w:tentative="0">
      <w:start w:val="1"/>
      <w:numFmt w:val="chineseCounting"/>
      <w:pStyle w:val="163"/>
      <w:suff w:val="nothing"/>
      <w:lvlText w:val="%1、"/>
      <w:lvlJc w:val="left"/>
      <w:rPr>
        <w:rFonts w:hint="eastAsia"/>
      </w:rPr>
    </w:lvl>
  </w:abstractNum>
  <w:abstractNum w:abstractNumId="1">
    <w:nsid w:val="EE14CCCC"/>
    <w:multiLevelType w:val="multilevel"/>
    <w:tmpl w:val="EE14CCCC"/>
    <w:lvl w:ilvl="0" w:tentative="0">
      <w:start w:val="1"/>
      <w:numFmt w:val="chineseCounting"/>
      <w:suff w:val="space"/>
      <w:lvlText w:val="第%1章 "/>
      <w:lvlJc w:val="center"/>
      <w:pPr>
        <w:tabs>
          <w:tab w:val="left" w:pos="0"/>
        </w:tabs>
        <w:ind w:left="0" w:firstLine="402"/>
      </w:pPr>
      <w:rPr>
        <w:rFonts w:hint="eastAsia" w:ascii="方正小标宋简体" w:hAnsi="方正小标宋简体" w:eastAsia="方正小标宋简体" w:cs="方正小标宋简体"/>
        <w:sz w:val="36"/>
        <w:szCs w:val="36"/>
      </w:rPr>
    </w:lvl>
    <w:lvl w:ilvl="1" w:tentative="0">
      <w:start w:val="1"/>
      <w:numFmt w:val="chineseCounting"/>
      <w:suff w:val="space"/>
      <w:lvlText w:val="第%2节"/>
      <w:lvlJc w:val="center"/>
      <w:pPr>
        <w:tabs>
          <w:tab w:val="left" w:pos="420"/>
        </w:tabs>
        <w:ind w:left="0" w:firstLine="402"/>
      </w:pPr>
      <w:rPr>
        <w:rFonts w:hint="eastAsia" w:eastAsia="黑体"/>
        <w:sz w:val="32"/>
      </w:rPr>
    </w:lvl>
    <w:lvl w:ilvl="2" w:tentative="0">
      <w:start w:val="1"/>
      <w:numFmt w:val="decimal"/>
      <w:lvlRestart w:val="0"/>
      <w:suff w:val="space"/>
      <w:lvlText w:val="第%3条"/>
      <w:lvlJc w:val="left"/>
      <w:pPr>
        <w:ind w:left="0" w:firstLine="0"/>
      </w:pPr>
      <w:rPr>
        <w:rFonts w:hint="eastAsia" w:eastAsia="楷体"/>
        <w:sz w:val="32"/>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00000003"/>
    <w:multiLevelType w:val="multilevel"/>
    <w:tmpl w:val="00000003"/>
    <w:lvl w:ilvl="0" w:tentative="0">
      <w:start w:val="1"/>
      <w:numFmt w:val="none"/>
      <w:pStyle w:val="189"/>
      <w:lvlText w:val="表"/>
      <w:lvlJc w:val="left"/>
      <w:pPr>
        <w:tabs>
          <w:tab w:val="left" w:pos="360"/>
        </w:tabs>
        <w:ind w:left="0" w:firstLine="0"/>
      </w:pPr>
      <w:rPr>
        <w:rFonts w:hint="eastAsia" w:asci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910DEA"/>
    <w:multiLevelType w:val="multilevel"/>
    <w:tmpl w:val="20910DEA"/>
    <w:lvl w:ilvl="0" w:tentative="0">
      <w:start w:val="1"/>
      <w:numFmt w:val="decimal"/>
      <w:pStyle w:val="185"/>
      <w:suff w:val="nothing"/>
      <w:lvlText w:val="%1、"/>
      <w:lvlJc w:val="left"/>
      <w:pPr>
        <w:ind w:left="1363" w:hanging="72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4">
    <w:nsid w:val="7B913BCA"/>
    <w:multiLevelType w:val="multilevel"/>
    <w:tmpl w:val="7B913BCA"/>
    <w:lvl w:ilvl="0" w:tentative="0">
      <w:start w:val="1"/>
      <w:numFmt w:val="decimal"/>
      <w:pStyle w:val="181"/>
      <w:suff w:val="nothing"/>
      <w:lvlText w:val="表%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kzNzI3YTBiMTg2NjMxZDFkYmY5NjlkYzMzOWEwZDkifQ=="/>
  </w:docVars>
  <w:rsids>
    <w:rsidRoot w:val="00647559"/>
    <w:rsid w:val="00002CC0"/>
    <w:rsid w:val="00011BF7"/>
    <w:rsid w:val="00011CFF"/>
    <w:rsid w:val="00012FE3"/>
    <w:rsid w:val="00013892"/>
    <w:rsid w:val="00016D39"/>
    <w:rsid w:val="000225CF"/>
    <w:rsid w:val="00023486"/>
    <w:rsid w:val="0002527B"/>
    <w:rsid w:val="00025F9E"/>
    <w:rsid w:val="0002653D"/>
    <w:rsid w:val="00027817"/>
    <w:rsid w:val="00030353"/>
    <w:rsid w:val="00037541"/>
    <w:rsid w:val="00037EEA"/>
    <w:rsid w:val="000402AE"/>
    <w:rsid w:val="00044775"/>
    <w:rsid w:val="00044B77"/>
    <w:rsid w:val="000453D9"/>
    <w:rsid w:val="000459F6"/>
    <w:rsid w:val="00051444"/>
    <w:rsid w:val="000534F8"/>
    <w:rsid w:val="00055AC9"/>
    <w:rsid w:val="000611C0"/>
    <w:rsid w:val="00062C9C"/>
    <w:rsid w:val="00063A77"/>
    <w:rsid w:val="000747B5"/>
    <w:rsid w:val="0008050E"/>
    <w:rsid w:val="0008188C"/>
    <w:rsid w:val="0008556B"/>
    <w:rsid w:val="000A0B67"/>
    <w:rsid w:val="000A3EB3"/>
    <w:rsid w:val="000A7F95"/>
    <w:rsid w:val="000B1842"/>
    <w:rsid w:val="000B2BEE"/>
    <w:rsid w:val="000C6EF3"/>
    <w:rsid w:val="000C7B3F"/>
    <w:rsid w:val="000D113B"/>
    <w:rsid w:val="000D3354"/>
    <w:rsid w:val="000D5A58"/>
    <w:rsid w:val="000E2152"/>
    <w:rsid w:val="000E39FC"/>
    <w:rsid w:val="000E5C3E"/>
    <w:rsid w:val="000E71B9"/>
    <w:rsid w:val="00102A09"/>
    <w:rsid w:val="00105569"/>
    <w:rsid w:val="001153B6"/>
    <w:rsid w:val="00122B59"/>
    <w:rsid w:val="00127E4C"/>
    <w:rsid w:val="0014244E"/>
    <w:rsid w:val="00144216"/>
    <w:rsid w:val="00146CAA"/>
    <w:rsid w:val="001478F7"/>
    <w:rsid w:val="00155F67"/>
    <w:rsid w:val="00157215"/>
    <w:rsid w:val="00164F5A"/>
    <w:rsid w:val="00174287"/>
    <w:rsid w:val="00175FC0"/>
    <w:rsid w:val="0018278B"/>
    <w:rsid w:val="00192D2E"/>
    <w:rsid w:val="0019326E"/>
    <w:rsid w:val="001934C0"/>
    <w:rsid w:val="001A10A1"/>
    <w:rsid w:val="001D269C"/>
    <w:rsid w:val="001D46D6"/>
    <w:rsid w:val="001E28E2"/>
    <w:rsid w:val="001E2E23"/>
    <w:rsid w:val="001E6669"/>
    <w:rsid w:val="001F0556"/>
    <w:rsid w:val="001F0B78"/>
    <w:rsid w:val="001F3FB8"/>
    <w:rsid w:val="001F414C"/>
    <w:rsid w:val="001F5C0C"/>
    <w:rsid w:val="002017BC"/>
    <w:rsid w:val="002058BE"/>
    <w:rsid w:val="00222B95"/>
    <w:rsid w:val="00223451"/>
    <w:rsid w:val="0023000C"/>
    <w:rsid w:val="002313D9"/>
    <w:rsid w:val="00232A1C"/>
    <w:rsid w:val="00232C72"/>
    <w:rsid w:val="00242E0F"/>
    <w:rsid w:val="00244D71"/>
    <w:rsid w:val="002532A4"/>
    <w:rsid w:val="002579A9"/>
    <w:rsid w:val="00260575"/>
    <w:rsid w:val="00270A38"/>
    <w:rsid w:val="002806CE"/>
    <w:rsid w:val="002823BC"/>
    <w:rsid w:val="002838AB"/>
    <w:rsid w:val="002864C2"/>
    <w:rsid w:val="002A11DE"/>
    <w:rsid w:val="002A182C"/>
    <w:rsid w:val="002A572D"/>
    <w:rsid w:val="002A5B2D"/>
    <w:rsid w:val="002B1561"/>
    <w:rsid w:val="002B2A29"/>
    <w:rsid w:val="002C2331"/>
    <w:rsid w:val="002D575A"/>
    <w:rsid w:val="002D6375"/>
    <w:rsid w:val="002E0F63"/>
    <w:rsid w:val="002E115F"/>
    <w:rsid w:val="002E34CF"/>
    <w:rsid w:val="002E3CD0"/>
    <w:rsid w:val="002E59DD"/>
    <w:rsid w:val="002F572E"/>
    <w:rsid w:val="00304B84"/>
    <w:rsid w:val="003103DA"/>
    <w:rsid w:val="003106B4"/>
    <w:rsid w:val="00325014"/>
    <w:rsid w:val="00327515"/>
    <w:rsid w:val="003279DF"/>
    <w:rsid w:val="003306ED"/>
    <w:rsid w:val="00333A2A"/>
    <w:rsid w:val="00340369"/>
    <w:rsid w:val="0034196F"/>
    <w:rsid w:val="0034321B"/>
    <w:rsid w:val="00346151"/>
    <w:rsid w:val="00347263"/>
    <w:rsid w:val="00352289"/>
    <w:rsid w:val="00371E5B"/>
    <w:rsid w:val="003740DC"/>
    <w:rsid w:val="003825DC"/>
    <w:rsid w:val="00383E42"/>
    <w:rsid w:val="00390550"/>
    <w:rsid w:val="00390638"/>
    <w:rsid w:val="0039067B"/>
    <w:rsid w:val="00393F2D"/>
    <w:rsid w:val="003A21FB"/>
    <w:rsid w:val="003B0920"/>
    <w:rsid w:val="003B254B"/>
    <w:rsid w:val="003B2A09"/>
    <w:rsid w:val="003B405C"/>
    <w:rsid w:val="003B6098"/>
    <w:rsid w:val="003B6649"/>
    <w:rsid w:val="003C0C3C"/>
    <w:rsid w:val="003C4D4A"/>
    <w:rsid w:val="003C6E68"/>
    <w:rsid w:val="003D009D"/>
    <w:rsid w:val="003D5E53"/>
    <w:rsid w:val="003D7122"/>
    <w:rsid w:val="00403E44"/>
    <w:rsid w:val="00411509"/>
    <w:rsid w:val="00416CDE"/>
    <w:rsid w:val="004258B2"/>
    <w:rsid w:val="00426091"/>
    <w:rsid w:val="00431CCC"/>
    <w:rsid w:val="004323B9"/>
    <w:rsid w:val="00432BD7"/>
    <w:rsid w:val="00437AE6"/>
    <w:rsid w:val="004435FD"/>
    <w:rsid w:val="00445D86"/>
    <w:rsid w:val="00452A7B"/>
    <w:rsid w:val="0045320A"/>
    <w:rsid w:val="00466600"/>
    <w:rsid w:val="00470D1B"/>
    <w:rsid w:val="004804ED"/>
    <w:rsid w:val="004825EE"/>
    <w:rsid w:val="00484B42"/>
    <w:rsid w:val="004879D5"/>
    <w:rsid w:val="00487F1A"/>
    <w:rsid w:val="00490348"/>
    <w:rsid w:val="00490682"/>
    <w:rsid w:val="004950D1"/>
    <w:rsid w:val="004B4A16"/>
    <w:rsid w:val="004C2B66"/>
    <w:rsid w:val="004C50B6"/>
    <w:rsid w:val="004C68A9"/>
    <w:rsid w:val="004C6E96"/>
    <w:rsid w:val="004C7E27"/>
    <w:rsid w:val="004C7E73"/>
    <w:rsid w:val="004D325A"/>
    <w:rsid w:val="004E079D"/>
    <w:rsid w:val="004E0A34"/>
    <w:rsid w:val="004F1B40"/>
    <w:rsid w:val="004F485D"/>
    <w:rsid w:val="004F651F"/>
    <w:rsid w:val="0051189B"/>
    <w:rsid w:val="00512507"/>
    <w:rsid w:val="0051599A"/>
    <w:rsid w:val="00533D29"/>
    <w:rsid w:val="005351DB"/>
    <w:rsid w:val="00542F2E"/>
    <w:rsid w:val="0054532F"/>
    <w:rsid w:val="00545809"/>
    <w:rsid w:val="005470A2"/>
    <w:rsid w:val="00554B5D"/>
    <w:rsid w:val="0055641A"/>
    <w:rsid w:val="00560592"/>
    <w:rsid w:val="00564D2E"/>
    <w:rsid w:val="00567C4B"/>
    <w:rsid w:val="0057451D"/>
    <w:rsid w:val="00577249"/>
    <w:rsid w:val="00577AF9"/>
    <w:rsid w:val="0058562F"/>
    <w:rsid w:val="00586FEC"/>
    <w:rsid w:val="00594AE3"/>
    <w:rsid w:val="005A2561"/>
    <w:rsid w:val="005A3152"/>
    <w:rsid w:val="005B2BD9"/>
    <w:rsid w:val="005B3A3B"/>
    <w:rsid w:val="005B3F73"/>
    <w:rsid w:val="005B4710"/>
    <w:rsid w:val="005B5046"/>
    <w:rsid w:val="005B7EA5"/>
    <w:rsid w:val="005D043F"/>
    <w:rsid w:val="005E1C0D"/>
    <w:rsid w:val="005E3139"/>
    <w:rsid w:val="005E5016"/>
    <w:rsid w:val="005E5CF4"/>
    <w:rsid w:val="005E7A4B"/>
    <w:rsid w:val="005F65CD"/>
    <w:rsid w:val="005F690A"/>
    <w:rsid w:val="005F6E49"/>
    <w:rsid w:val="005F702B"/>
    <w:rsid w:val="00603A2D"/>
    <w:rsid w:val="006075A4"/>
    <w:rsid w:val="00607881"/>
    <w:rsid w:val="006130FD"/>
    <w:rsid w:val="00613CF4"/>
    <w:rsid w:val="00614831"/>
    <w:rsid w:val="00620777"/>
    <w:rsid w:val="00623A6A"/>
    <w:rsid w:val="00623AA8"/>
    <w:rsid w:val="006363AA"/>
    <w:rsid w:val="00641876"/>
    <w:rsid w:val="00642FEC"/>
    <w:rsid w:val="00646A4C"/>
    <w:rsid w:val="00647559"/>
    <w:rsid w:val="00661636"/>
    <w:rsid w:val="006665A2"/>
    <w:rsid w:val="00667D68"/>
    <w:rsid w:val="00672369"/>
    <w:rsid w:val="00672A63"/>
    <w:rsid w:val="00675DA2"/>
    <w:rsid w:val="00680D30"/>
    <w:rsid w:val="0069205C"/>
    <w:rsid w:val="00693967"/>
    <w:rsid w:val="00693FBA"/>
    <w:rsid w:val="00696AC3"/>
    <w:rsid w:val="006A694A"/>
    <w:rsid w:val="006B5490"/>
    <w:rsid w:val="006C0127"/>
    <w:rsid w:val="006D320A"/>
    <w:rsid w:val="006D7FDF"/>
    <w:rsid w:val="006E05BE"/>
    <w:rsid w:val="006E126C"/>
    <w:rsid w:val="006E128A"/>
    <w:rsid w:val="006F14F3"/>
    <w:rsid w:val="006F1C93"/>
    <w:rsid w:val="006F1E0D"/>
    <w:rsid w:val="006F4616"/>
    <w:rsid w:val="00700AD3"/>
    <w:rsid w:val="007136FA"/>
    <w:rsid w:val="007159E4"/>
    <w:rsid w:val="00717782"/>
    <w:rsid w:val="0072132E"/>
    <w:rsid w:val="0073174B"/>
    <w:rsid w:val="0073563F"/>
    <w:rsid w:val="00741F2B"/>
    <w:rsid w:val="007446C4"/>
    <w:rsid w:val="0074552B"/>
    <w:rsid w:val="00745A12"/>
    <w:rsid w:val="00746FA5"/>
    <w:rsid w:val="00751014"/>
    <w:rsid w:val="00757EB8"/>
    <w:rsid w:val="00772CB5"/>
    <w:rsid w:val="00773811"/>
    <w:rsid w:val="00775115"/>
    <w:rsid w:val="0077750D"/>
    <w:rsid w:val="00783F20"/>
    <w:rsid w:val="00787165"/>
    <w:rsid w:val="0078749A"/>
    <w:rsid w:val="00793BF7"/>
    <w:rsid w:val="007A3695"/>
    <w:rsid w:val="007A49CC"/>
    <w:rsid w:val="007A6BC4"/>
    <w:rsid w:val="007B1E2A"/>
    <w:rsid w:val="007B52D4"/>
    <w:rsid w:val="007B7E5F"/>
    <w:rsid w:val="007C0B75"/>
    <w:rsid w:val="007C1113"/>
    <w:rsid w:val="007C45BF"/>
    <w:rsid w:val="007C6BFE"/>
    <w:rsid w:val="007D2B8B"/>
    <w:rsid w:val="007E0902"/>
    <w:rsid w:val="007E3CA7"/>
    <w:rsid w:val="007E6A30"/>
    <w:rsid w:val="007E71FD"/>
    <w:rsid w:val="007F0A1D"/>
    <w:rsid w:val="007F2637"/>
    <w:rsid w:val="007F277B"/>
    <w:rsid w:val="007F3514"/>
    <w:rsid w:val="007F5B08"/>
    <w:rsid w:val="00800F37"/>
    <w:rsid w:val="00803F6A"/>
    <w:rsid w:val="00807E9A"/>
    <w:rsid w:val="00810B0E"/>
    <w:rsid w:val="00811783"/>
    <w:rsid w:val="00811810"/>
    <w:rsid w:val="00811D62"/>
    <w:rsid w:val="008221C1"/>
    <w:rsid w:val="00823388"/>
    <w:rsid w:val="00823BA8"/>
    <w:rsid w:val="00825000"/>
    <w:rsid w:val="00830BBF"/>
    <w:rsid w:val="0083113C"/>
    <w:rsid w:val="00831B7F"/>
    <w:rsid w:val="0083213B"/>
    <w:rsid w:val="00832F19"/>
    <w:rsid w:val="008330B6"/>
    <w:rsid w:val="0083329C"/>
    <w:rsid w:val="008434C7"/>
    <w:rsid w:val="008437C7"/>
    <w:rsid w:val="008456E6"/>
    <w:rsid w:val="008458C2"/>
    <w:rsid w:val="008533E0"/>
    <w:rsid w:val="008535A4"/>
    <w:rsid w:val="00865DA5"/>
    <w:rsid w:val="008710F5"/>
    <w:rsid w:val="00871D20"/>
    <w:rsid w:val="008726DC"/>
    <w:rsid w:val="008774C3"/>
    <w:rsid w:val="00882282"/>
    <w:rsid w:val="00882D25"/>
    <w:rsid w:val="00882E72"/>
    <w:rsid w:val="008872C7"/>
    <w:rsid w:val="0089016B"/>
    <w:rsid w:val="008920DE"/>
    <w:rsid w:val="00897A4B"/>
    <w:rsid w:val="00897C62"/>
    <w:rsid w:val="008B04F7"/>
    <w:rsid w:val="008B6289"/>
    <w:rsid w:val="008C14DB"/>
    <w:rsid w:val="008C21B6"/>
    <w:rsid w:val="008C42F9"/>
    <w:rsid w:val="008C52D0"/>
    <w:rsid w:val="008D0658"/>
    <w:rsid w:val="008E7E43"/>
    <w:rsid w:val="008F0754"/>
    <w:rsid w:val="008F2107"/>
    <w:rsid w:val="008F6B7A"/>
    <w:rsid w:val="008F7433"/>
    <w:rsid w:val="008F78CB"/>
    <w:rsid w:val="00902CEA"/>
    <w:rsid w:val="009134B9"/>
    <w:rsid w:val="00913EC7"/>
    <w:rsid w:val="009148A1"/>
    <w:rsid w:val="00920EB8"/>
    <w:rsid w:val="00924365"/>
    <w:rsid w:val="00924C2D"/>
    <w:rsid w:val="00933D49"/>
    <w:rsid w:val="00934CAF"/>
    <w:rsid w:val="009361B0"/>
    <w:rsid w:val="009430B3"/>
    <w:rsid w:val="0094355D"/>
    <w:rsid w:val="009452CB"/>
    <w:rsid w:val="00950409"/>
    <w:rsid w:val="00953CF9"/>
    <w:rsid w:val="0095747F"/>
    <w:rsid w:val="00961521"/>
    <w:rsid w:val="00961891"/>
    <w:rsid w:val="00963277"/>
    <w:rsid w:val="00963C30"/>
    <w:rsid w:val="009676E6"/>
    <w:rsid w:val="009751FB"/>
    <w:rsid w:val="00981CB4"/>
    <w:rsid w:val="0098460A"/>
    <w:rsid w:val="009863B9"/>
    <w:rsid w:val="0099142A"/>
    <w:rsid w:val="009A5B27"/>
    <w:rsid w:val="009A67B4"/>
    <w:rsid w:val="009B7170"/>
    <w:rsid w:val="009B77D6"/>
    <w:rsid w:val="009C0292"/>
    <w:rsid w:val="009C23F4"/>
    <w:rsid w:val="009C324A"/>
    <w:rsid w:val="009C36ED"/>
    <w:rsid w:val="009D32D8"/>
    <w:rsid w:val="009D3FA2"/>
    <w:rsid w:val="009E3098"/>
    <w:rsid w:val="009E5473"/>
    <w:rsid w:val="009F1647"/>
    <w:rsid w:val="009F7C20"/>
    <w:rsid w:val="00A02811"/>
    <w:rsid w:val="00A05CCA"/>
    <w:rsid w:val="00A106CE"/>
    <w:rsid w:val="00A21905"/>
    <w:rsid w:val="00A22645"/>
    <w:rsid w:val="00A23CC5"/>
    <w:rsid w:val="00A2573A"/>
    <w:rsid w:val="00A33771"/>
    <w:rsid w:val="00A36A22"/>
    <w:rsid w:val="00A40483"/>
    <w:rsid w:val="00A45454"/>
    <w:rsid w:val="00A45781"/>
    <w:rsid w:val="00A4647B"/>
    <w:rsid w:val="00A50E34"/>
    <w:rsid w:val="00A5275F"/>
    <w:rsid w:val="00A55CE0"/>
    <w:rsid w:val="00A56C07"/>
    <w:rsid w:val="00A605E0"/>
    <w:rsid w:val="00A62C61"/>
    <w:rsid w:val="00A63BBB"/>
    <w:rsid w:val="00A655E8"/>
    <w:rsid w:val="00A65E89"/>
    <w:rsid w:val="00A668A2"/>
    <w:rsid w:val="00A83331"/>
    <w:rsid w:val="00A922B7"/>
    <w:rsid w:val="00A93F74"/>
    <w:rsid w:val="00AB1186"/>
    <w:rsid w:val="00AC280A"/>
    <w:rsid w:val="00AC36DC"/>
    <w:rsid w:val="00AC433A"/>
    <w:rsid w:val="00AD2E03"/>
    <w:rsid w:val="00AF389E"/>
    <w:rsid w:val="00AF7794"/>
    <w:rsid w:val="00AF7C0E"/>
    <w:rsid w:val="00B010FE"/>
    <w:rsid w:val="00B01A57"/>
    <w:rsid w:val="00B02A95"/>
    <w:rsid w:val="00B0507A"/>
    <w:rsid w:val="00B12E85"/>
    <w:rsid w:val="00B13E5D"/>
    <w:rsid w:val="00B2343C"/>
    <w:rsid w:val="00B274A4"/>
    <w:rsid w:val="00B27C81"/>
    <w:rsid w:val="00B40CC3"/>
    <w:rsid w:val="00B4152C"/>
    <w:rsid w:val="00B507C0"/>
    <w:rsid w:val="00B55D76"/>
    <w:rsid w:val="00B60E65"/>
    <w:rsid w:val="00B63FEC"/>
    <w:rsid w:val="00B6403A"/>
    <w:rsid w:val="00B66C8A"/>
    <w:rsid w:val="00B675D5"/>
    <w:rsid w:val="00B73B9E"/>
    <w:rsid w:val="00B83629"/>
    <w:rsid w:val="00B87532"/>
    <w:rsid w:val="00B900DD"/>
    <w:rsid w:val="00B918D6"/>
    <w:rsid w:val="00B9377C"/>
    <w:rsid w:val="00B962C1"/>
    <w:rsid w:val="00B96DC3"/>
    <w:rsid w:val="00BA63E5"/>
    <w:rsid w:val="00BA729C"/>
    <w:rsid w:val="00BC045E"/>
    <w:rsid w:val="00BC1456"/>
    <w:rsid w:val="00BC2509"/>
    <w:rsid w:val="00BC5CB6"/>
    <w:rsid w:val="00BD6A5C"/>
    <w:rsid w:val="00BE023F"/>
    <w:rsid w:val="00BE29E8"/>
    <w:rsid w:val="00BE6298"/>
    <w:rsid w:val="00BF2706"/>
    <w:rsid w:val="00BF52D2"/>
    <w:rsid w:val="00C00DE0"/>
    <w:rsid w:val="00C036D2"/>
    <w:rsid w:val="00C1009E"/>
    <w:rsid w:val="00C15931"/>
    <w:rsid w:val="00C1621A"/>
    <w:rsid w:val="00C22210"/>
    <w:rsid w:val="00C22686"/>
    <w:rsid w:val="00C227A5"/>
    <w:rsid w:val="00C26450"/>
    <w:rsid w:val="00C26544"/>
    <w:rsid w:val="00C30869"/>
    <w:rsid w:val="00C30EA8"/>
    <w:rsid w:val="00C349B3"/>
    <w:rsid w:val="00C41264"/>
    <w:rsid w:val="00C52ACB"/>
    <w:rsid w:val="00C55042"/>
    <w:rsid w:val="00C55F8D"/>
    <w:rsid w:val="00C57CD8"/>
    <w:rsid w:val="00C6215B"/>
    <w:rsid w:val="00C70325"/>
    <w:rsid w:val="00C75929"/>
    <w:rsid w:val="00C75A16"/>
    <w:rsid w:val="00C75FAC"/>
    <w:rsid w:val="00C768AD"/>
    <w:rsid w:val="00C770EB"/>
    <w:rsid w:val="00C80A65"/>
    <w:rsid w:val="00C814A0"/>
    <w:rsid w:val="00C841B0"/>
    <w:rsid w:val="00C84CD1"/>
    <w:rsid w:val="00C86DF5"/>
    <w:rsid w:val="00C87B0B"/>
    <w:rsid w:val="00C90229"/>
    <w:rsid w:val="00C93B94"/>
    <w:rsid w:val="00C9519E"/>
    <w:rsid w:val="00C961A4"/>
    <w:rsid w:val="00C96F1B"/>
    <w:rsid w:val="00C973EE"/>
    <w:rsid w:val="00CA0314"/>
    <w:rsid w:val="00CA0CA1"/>
    <w:rsid w:val="00CA173B"/>
    <w:rsid w:val="00CA176B"/>
    <w:rsid w:val="00CA1940"/>
    <w:rsid w:val="00CA52CA"/>
    <w:rsid w:val="00CB1B7A"/>
    <w:rsid w:val="00CB1D07"/>
    <w:rsid w:val="00CB463C"/>
    <w:rsid w:val="00CB6EA0"/>
    <w:rsid w:val="00CB7710"/>
    <w:rsid w:val="00CB7E06"/>
    <w:rsid w:val="00CC0ADE"/>
    <w:rsid w:val="00CC69B4"/>
    <w:rsid w:val="00CC75B7"/>
    <w:rsid w:val="00CD436D"/>
    <w:rsid w:val="00CD4506"/>
    <w:rsid w:val="00CD60FC"/>
    <w:rsid w:val="00CE0695"/>
    <w:rsid w:val="00CE0952"/>
    <w:rsid w:val="00CE32CB"/>
    <w:rsid w:val="00CF227F"/>
    <w:rsid w:val="00CF2BFF"/>
    <w:rsid w:val="00CF4731"/>
    <w:rsid w:val="00D03B50"/>
    <w:rsid w:val="00D05705"/>
    <w:rsid w:val="00D118C2"/>
    <w:rsid w:val="00D11CD8"/>
    <w:rsid w:val="00D20270"/>
    <w:rsid w:val="00D27638"/>
    <w:rsid w:val="00D27D3A"/>
    <w:rsid w:val="00D31A84"/>
    <w:rsid w:val="00D32224"/>
    <w:rsid w:val="00D345B0"/>
    <w:rsid w:val="00D64AE2"/>
    <w:rsid w:val="00D656B8"/>
    <w:rsid w:val="00D737DF"/>
    <w:rsid w:val="00D9595E"/>
    <w:rsid w:val="00DB0DC6"/>
    <w:rsid w:val="00DB7B66"/>
    <w:rsid w:val="00DC12A9"/>
    <w:rsid w:val="00DD0763"/>
    <w:rsid w:val="00DE0B5B"/>
    <w:rsid w:val="00DF3374"/>
    <w:rsid w:val="00DF4889"/>
    <w:rsid w:val="00E0101F"/>
    <w:rsid w:val="00E1209C"/>
    <w:rsid w:val="00E13064"/>
    <w:rsid w:val="00E15BE2"/>
    <w:rsid w:val="00E27971"/>
    <w:rsid w:val="00E30465"/>
    <w:rsid w:val="00E32414"/>
    <w:rsid w:val="00E369C3"/>
    <w:rsid w:val="00E36F86"/>
    <w:rsid w:val="00E410FD"/>
    <w:rsid w:val="00E47847"/>
    <w:rsid w:val="00E56A9B"/>
    <w:rsid w:val="00E6062F"/>
    <w:rsid w:val="00E6211A"/>
    <w:rsid w:val="00E670C0"/>
    <w:rsid w:val="00E761E4"/>
    <w:rsid w:val="00E81EFE"/>
    <w:rsid w:val="00E921E6"/>
    <w:rsid w:val="00E9570B"/>
    <w:rsid w:val="00EB67BC"/>
    <w:rsid w:val="00EB7D04"/>
    <w:rsid w:val="00EC092B"/>
    <w:rsid w:val="00ED4B76"/>
    <w:rsid w:val="00ED637A"/>
    <w:rsid w:val="00EE1367"/>
    <w:rsid w:val="00EE1E2C"/>
    <w:rsid w:val="00EE4C24"/>
    <w:rsid w:val="00EE7244"/>
    <w:rsid w:val="00EF2B64"/>
    <w:rsid w:val="00EF3075"/>
    <w:rsid w:val="00EF76BC"/>
    <w:rsid w:val="00F0066D"/>
    <w:rsid w:val="00F04883"/>
    <w:rsid w:val="00F06CDF"/>
    <w:rsid w:val="00F07F7D"/>
    <w:rsid w:val="00F21181"/>
    <w:rsid w:val="00F243F1"/>
    <w:rsid w:val="00F24B05"/>
    <w:rsid w:val="00F26108"/>
    <w:rsid w:val="00F306A4"/>
    <w:rsid w:val="00F307CB"/>
    <w:rsid w:val="00F45A61"/>
    <w:rsid w:val="00F46E3F"/>
    <w:rsid w:val="00F5148E"/>
    <w:rsid w:val="00F61564"/>
    <w:rsid w:val="00F70E89"/>
    <w:rsid w:val="00F82322"/>
    <w:rsid w:val="00F82E47"/>
    <w:rsid w:val="00F86688"/>
    <w:rsid w:val="00F9080F"/>
    <w:rsid w:val="00FA051F"/>
    <w:rsid w:val="00FA24AB"/>
    <w:rsid w:val="00FA5585"/>
    <w:rsid w:val="00FA7173"/>
    <w:rsid w:val="00FB7E5A"/>
    <w:rsid w:val="00FC010B"/>
    <w:rsid w:val="00FC13E4"/>
    <w:rsid w:val="00FD2C2D"/>
    <w:rsid w:val="00FE4C88"/>
    <w:rsid w:val="00FE4FDB"/>
    <w:rsid w:val="00FE6E49"/>
    <w:rsid w:val="00FE7530"/>
    <w:rsid w:val="00FE7D0E"/>
    <w:rsid w:val="00FE7DDC"/>
    <w:rsid w:val="00FF0FB0"/>
    <w:rsid w:val="00FF2A0B"/>
    <w:rsid w:val="00FF53F8"/>
    <w:rsid w:val="00FF7089"/>
    <w:rsid w:val="01101675"/>
    <w:rsid w:val="01154EDD"/>
    <w:rsid w:val="01203FAE"/>
    <w:rsid w:val="01244937"/>
    <w:rsid w:val="012670EA"/>
    <w:rsid w:val="012D2227"/>
    <w:rsid w:val="014337F8"/>
    <w:rsid w:val="01505F15"/>
    <w:rsid w:val="015B6D94"/>
    <w:rsid w:val="01A22C15"/>
    <w:rsid w:val="020E3E06"/>
    <w:rsid w:val="022A6766"/>
    <w:rsid w:val="023D293E"/>
    <w:rsid w:val="026E2AF7"/>
    <w:rsid w:val="028265A2"/>
    <w:rsid w:val="0293255D"/>
    <w:rsid w:val="029E162E"/>
    <w:rsid w:val="02A824AD"/>
    <w:rsid w:val="02BF15A4"/>
    <w:rsid w:val="02C92423"/>
    <w:rsid w:val="02D0730E"/>
    <w:rsid w:val="03035935"/>
    <w:rsid w:val="030516AD"/>
    <w:rsid w:val="03101E00"/>
    <w:rsid w:val="0313544C"/>
    <w:rsid w:val="033E3663"/>
    <w:rsid w:val="0360752A"/>
    <w:rsid w:val="03945159"/>
    <w:rsid w:val="03C70711"/>
    <w:rsid w:val="03DF1EFE"/>
    <w:rsid w:val="03E40234"/>
    <w:rsid w:val="03EA08A3"/>
    <w:rsid w:val="03EF5EB9"/>
    <w:rsid w:val="04402271"/>
    <w:rsid w:val="04AB1DE0"/>
    <w:rsid w:val="04F35535"/>
    <w:rsid w:val="04F60A45"/>
    <w:rsid w:val="04F80D9E"/>
    <w:rsid w:val="05102A7C"/>
    <w:rsid w:val="05104339"/>
    <w:rsid w:val="05290F57"/>
    <w:rsid w:val="05517447"/>
    <w:rsid w:val="05F31C91"/>
    <w:rsid w:val="05F652DD"/>
    <w:rsid w:val="0616597F"/>
    <w:rsid w:val="061B11E8"/>
    <w:rsid w:val="065344DE"/>
    <w:rsid w:val="065B5A88"/>
    <w:rsid w:val="06622973"/>
    <w:rsid w:val="06764670"/>
    <w:rsid w:val="0693639D"/>
    <w:rsid w:val="069A3EBB"/>
    <w:rsid w:val="06B31420"/>
    <w:rsid w:val="06B51BBE"/>
    <w:rsid w:val="06C90C44"/>
    <w:rsid w:val="06D373CC"/>
    <w:rsid w:val="06D575E9"/>
    <w:rsid w:val="07013F3A"/>
    <w:rsid w:val="070B125C"/>
    <w:rsid w:val="072077D5"/>
    <w:rsid w:val="07391925"/>
    <w:rsid w:val="076B2DCE"/>
    <w:rsid w:val="07717112"/>
    <w:rsid w:val="07854B6B"/>
    <w:rsid w:val="078828AD"/>
    <w:rsid w:val="07A019A5"/>
    <w:rsid w:val="07A11524"/>
    <w:rsid w:val="07AC565B"/>
    <w:rsid w:val="07C136C9"/>
    <w:rsid w:val="07EA2C20"/>
    <w:rsid w:val="08114650"/>
    <w:rsid w:val="0813553A"/>
    <w:rsid w:val="086E55FF"/>
    <w:rsid w:val="08A41020"/>
    <w:rsid w:val="08DC2356"/>
    <w:rsid w:val="092C1016"/>
    <w:rsid w:val="09414AC1"/>
    <w:rsid w:val="09510A7C"/>
    <w:rsid w:val="09992B4F"/>
    <w:rsid w:val="09C35E1E"/>
    <w:rsid w:val="0A1641A0"/>
    <w:rsid w:val="0A4F1460"/>
    <w:rsid w:val="0A7333A0"/>
    <w:rsid w:val="0A8F3F52"/>
    <w:rsid w:val="0AB37C41"/>
    <w:rsid w:val="0AD11E75"/>
    <w:rsid w:val="0AF0679F"/>
    <w:rsid w:val="0B07575E"/>
    <w:rsid w:val="0B1D50BA"/>
    <w:rsid w:val="0B4B39A3"/>
    <w:rsid w:val="0B53731F"/>
    <w:rsid w:val="0B754EF6"/>
    <w:rsid w:val="0B7E024F"/>
    <w:rsid w:val="0B8E5780"/>
    <w:rsid w:val="0BC41A42"/>
    <w:rsid w:val="0BCF0AAA"/>
    <w:rsid w:val="0BD53BE7"/>
    <w:rsid w:val="0BEF4CA9"/>
    <w:rsid w:val="0C191D25"/>
    <w:rsid w:val="0C3923C8"/>
    <w:rsid w:val="0C474AE5"/>
    <w:rsid w:val="0C4B5C57"/>
    <w:rsid w:val="0C517711"/>
    <w:rsid w:val="0C5C5410"/>
    <w:rsid w:val="0C654F6B"/>
    <w:rsid w:val="0C670CE3"/>
    <w:rsid w:val="0C965124"/>
    <w:rsid w:val="0CC872A8"/>
    <w:rsid w:val="0CE560AB"/>
    <w:rsid w:val="0CE72B43"/>
    <w:rsid w:val="0D240982"/>
    <w:rsid w:val="0D31309F"/>
    <w:rsid w:val="0D366907"/>
    <w:rsid w:val="0D3D37F2"/>
    <w:rsid w:val="0D420B1B"/>
    <w:rsid w:val="0D4252AC"/>
    <w:rsid w:val="0D442DD2"/>
    <w:rsid w:val="0D613984"/>
    <w:rsid w:val="0D682F64"/>
    <w:rsid w:val="0D8256A8"/>
    <w:rsid w:val="0D894C89"/>
    <w:rsid w:val="0D945FE2"/>
    <w:rsid w:val="0DAE2941"/>
    <w:rsid w:val="0DAE46EF"/>
    <w:rsid w:val="0DF81AB7"/>
    <w:rsid w:val="0E083E00"/>
    <w:rsid w:val="0E1A3B33"/>
    <w:rsid w:val="0E572FD9"/>
    <w:rsid w:val="0E72571D"/>
    <w:rsid w:val="0E760C28"/>
    <w:rsid w:val="0E851B9F"/>
    <w:rsid w:val="0EA77ABC"/>
    <w:rsid w:val="0ED91C40"/>
    <w:rsid w:val="0F0F11BE"/>
    <w:rsid w:val="0F0F7410"/>
    <w:rsid w:val="0F1B5DB5"/>
    <w:rsid w:val="0F384BB8"/>
    <w:rsid w:val="0F8E47D8"/>
    <w:rsid w:val="0FA77648"/>
    <w:rsid w:val="0FBA0925"/>
    <w:rsid w:val="0FBF2BE4"/>
    <w:rsid w:val="0FC1070A"/>
    <w:rsid w:val="0FFE195E"/>
    <w:rsid w:val="105E23FD"/>
    <w:rsid w:val="10C34956"/>
    <w:rsid w:val="10C55FD8"/>
    <w:rsid w:val="10F73BB9"/>
    <w:rsid w:val="11230F50"/>
    <w:rsid w:val="113D64B6"/>
    <w:rsid w:val="11423ACC"/>
    <w:rsid w:val="114F1D45"/>
    <w:rsid w:val="115455AE"/>
    <w:rsid w:val="11576D6C"/>
    <w:rsid w:val="11621A79"/>
    <w:rsid w:val="11692E07"/>
    <w:rsid w:val="117874EE"/>
    <w:rsid w:val="118F65E6"/>
    <w:rsid w:val="11A025A1"/>
    <w:rsid w:val="11D706B9"/>
    <w:rsid w:val="11F8740F"/>
    <w:rsid w:val="120668A8"/>
    <w:rsid w:val="124949E7"/>
    <w:rsid w:val="12521AED"/>
    <w:rsid w:val="12635AA8"/>
    <w:rsid w:val="12687563"/>
    <w:rsid w:val="127A7296"/>
    <w:rsid w:val="12C80001"/>
    <w:rsid w:val="12DC77F9"/>
    <w:rsid w:val="130C6140"/>
    <w:rsid w:val="130D3C66"/>
    <w:rsid w:val="13125D93"/>
    <w:rsid w:val="131B6383"/>
    <w:rsid w:val="1324792E"/>
    <w:rsid w:val="134E6759"/>
    <w:rsid w:val="13CA1B57"/>
    <w:rsid w:val="13D604FC"/>
    <w:rsid w:val="13EB21F9"/>
    <w:rsid w:val="13EF6A30"/>
    <w:rsid w:val="13F679C1"/>
    <w:rsid w:val="14045069"/>
    <w:rsid w:val="143E22D4"/>
    <w:rsid w:val="144E4536"/>
    <w:rsid w:val="145A45EA"/>
    <w:rsid w:val="146A75BB"/>
    <w:rsid w:val="14A423A8"/>
    <w:rsid w:val="14A979BF"/>
    <w:rsid w:val="14B87A54"/>
    <w:rsid w:val="14BF5434"/>
    <w:rsid w:val="14C111AC"/>
    <w:rsid w:val="154A11A2"/>
    <w:rsid w:val="156A7774"/>
    <w:rsid w:val="1585042C"/>
    <w:rsid w:val="15997A33"/>
    <w:rsid w:val="15D373E9"/>
    <w:rsid w:val="15D53161"/>
    <w:rsid w:val="15F33970"/>
    <w:rsid w:val="16315EBE"/>
    <w:rsid w:val="163836F0"/>
    <w:rsid w:val="16557DFE"/>
    <w:rsid w:val="1693569C"/>
    <w:rsid w:val="169C3995"/>
    <w:rsid w:val="16A14DF1"/>
    <w:rsid w:val="16FE0496"/>
    <w:rsid w:val="170830C2"/>
    <w:rsid w:val="17103D25"/>
    <w:rsid w:val="173633A7"/>
    <w:rsid w:val="17650515"/>
    <w:rsid w:val="17774D5B"/>
    <w:rsid w:val="17A0779F"/>
    <w:rsid w:val="17DB74D3"/>
    <w:rsid w:val="17DD62FD"/>
    <w:rsid w:val="17E94CA2"/>
    <w:rsid w:val="17EC02EE"/>
    <w:rsid w:val="18187335"/>
    <w:rsid w:val="18226406"/>
    <w:rsid w:val="182300F4"/>
    <w:rsid w:val="183F48C2"/>
    <w:rsid w:val="18422604"/>
    <w:rsid w:val="184C3483"/>
    <w:rsid w:val="185158E7"/>
    <w:rsid w:val="189F7A56"/>
    <w:rsid w:val="18A46E1B"/>
    <w:rsid w:val="18B70085"/>
    <w:rsid w:val="18B746E1"/>
    <w:rsid w:val="18E67433"/>
    <w:rsid w:val="19280074"/>
    <w:rsid w:val="193B777F"/>
    <w:rsid w:val="19640F3E"/>
    <w:rsid w:val="196D53B4"/>
    <w:rsid w:val="19760365"/>
    <w:rsid w:val="1985796B"/>
    <w:rsid w:val="1997072D"/>
    <w:rsid w:val="19A05834"/>
    <w:rsid w:val="19A30E80"/>
    <w:rsid w:val="19B17A41"/>
    <w:rsid w:val="19B80DD0"/>
    <w:rsid w:val="19DF45AE"/>
    <w:rsid w:val="19EF2361"/>
    <w:rsid w:val="19F16090"/>
    <w:rsid w:val="19FB2A6A"/>
    <w:rsid w:val="1A004525"/>
    <w:rsid w:val="1A165AF6"/>
    <w:rsid w:val="1A7C004F"/>
    <w:rsid w:val="1A824F3A"/>
    <w:rsid w:val="1A862C7C"/>
    <w:rsid w:val="1AA475A6"/>
    <w:rsid w:val="1AD27C6F"/>
    <w:rsid w:val="1AE94FB9"/>
    <w:rsid w:val="1B0F0EC3"/>
    <w:rsid w:val="1B28788F"/>
    <w:rsid w:val="1B2B3823"/>
    <w:rsid w:val="1B3721C8"/>
    <w:rsid w:val="1B586FF5"/>
    <w:rsid w:val="1B811695"/>
    <w:rsid w:val="1BB90E2F"/>
    <w:rsid w:val="1C0C0F5F"/>
    <w:rsid w:val="1C2A5889"/>
    <w:rsid w:val="1C3F7586"/>
    <w:rsid w:val="1C4458BC"/>
    <w:rsid w:val="1C6B4178"/>
    <w:rsid w:val="1C827473"/>
    <w:rsid w:val="1C872CDB"/>
    <w:rsid w:val="1CA4563B"/>
    <w:rsid w:val="1CAD0994"/>
    <w:rsid w:val="1CDA2E0B"/>
    <w:rsid w:val="1CDC3027"/>
    <w:rsid w:val="1D083E1C"/>
    <w:rsid w:val="1D19686B"/>
    <w:rsid w:val="1D306ECF"/>
    <w:rsid w:val="1D4E7279"/>
    <w:rsid w:val="1D6F5C49"/>
    <w:rsid w:val="1D773A6F"/>
    <w:rsid w:val="1DB573D4"/>
    <w:rsid w:val="1DBE5C4E"/>
    <w:rsid w:val="1DCB4E4A"/>
    <w:rsid w:val="1DE02FCA"/>
    <w:rsid w:val="1DF443A0"/>
    <w:rsid w:val="1E0839A8"/>
    <w:rsid w:val="1E0F721B"/>
    <w:rsid w:val="1E2702D2"/>
    <w:rsid w:val="1E2D1660"/>
    <w:rsid w:val="1E34479D"/>
    <w:rsid w:val="1E472722"/>
    <w:rsid w:val="1E761253"/>
    <w:rsid w:val="1E7D7EF2"/>
    <w:rsid w:val="1EA638ED"/>
    <w:rsid w:val="1EC41B0E"/>
    <w:rsid w:val="1EE2069D"/>
    <w:rsid w:val="1EE317E5"/>
    <w:rsid w:val="1EF61DA1"/>
    <w:rsid w:val="1EF81C6E"/>
    <w:rsid w:val="1F3507CD"/>
    <w:rsid w:val="1F3F33F9"/>
    <w:rsid w:val="1F833C2E"/>
    <w:rsid w:val="1FC41B50"/>
    <w:rsid w:val="20020FF7"/>
    <w:rsid w:val="20452C91"/>
    <w:rsid w:val="204535DA"/>
    <w:rsid w:val="204D1B46"/>
    <w:rsid w:val="205B24B5"/>
    <w:rsid w:val="206550E2"/>
    <w:rsid w:val="20A0436C"/>
    <w:rsid w:val="20A976C4"/>
    <w:rsid w:val="20EB1A8B"/>
    <w:rsid w:val="20F12E19"/>
    <w:rsid w:val="212F1FC7"/>
    <w:rsid w:val="215C0D30"/>
    <w:rsid w:val="215D04AF"/>
    <w:rsid w:val="219914E7"/>
    <w:rsid w:val="21AD4F92"/>
    <w:rsid w:val="21CF128C"/>
    <w:rsid w:val="21DF0EC4"/>
    <w:rsid w:val="21E36C06"/>
    <w:rsid w:val="2208666C"/>
    <w:rsid w:val="22146DBF"/>
    <w:rsid w:val="22267426"/>
    <w:rsid w:val="224551CB"/>
    <w:rsid w:val="22600256"/>
    <w:rsid w:val="226A69DF"/>
    <w:rsid w:val="226B7745"/>
    <w:rsid w:val="22717D6E"/>
    <w:rsid w:val="22794E74"/>
    <w:rsid w:val="22903F40"/>
    <w:rsid w:val="22F97D63"/>
    <w:rsid w:val="22FE0FF6"/>
    <w:rsid w:val="23024E6A"/>
    <w:rsid w:val="23052BAC"/>
    <w:rsid w:val="23452FA8"/>
    <w:rsid w:val="235A6A54"/>
    <w:rsid w:val="235B60B3"/>
    <w:rsid w:val="23690890"/>
    <w:rsid w:val="238241FC"/>
    <w:rsid w:val="23863CED"/>
    <w:rsid w:val="238B30B1"/>
    <w:rsid w:val="23A070E8"/>
    <w:rsid w:val="23B0550D"/>
    <w:rsid w:val="23BE3486"/>
    <w:rsid w:val="23C44815"/>
    <w:rsid w:val="23D04F68"/>
    <w:rsid w:val="23EB7FF4"/>
    <w:rsid w:val="240119C6"/>
    <w:rsid w:val="24197E09"/>
    <w:rsid w:val="2456062E"/>
    <w:rsid w:val="249C309C"/>
    <w:rsid w:val="24B86128"/>
    <w:rsid w:val="24BC54EC"/>
    <w:rsid w:val="24D44C08"/>
    <w:rsid w:val="252C08C4"/>
    <w:rsid w:val="252F5CBE"/>
    <w:rsid w:val="25302162"/>
    <w:rsid w:val="255D6CCF"/>
    <w:rsid w:val="256C2A6E"/>
    <w:rsid w:val="25916979"/>
    <w:rsid w:val="25973F8F"/>
    <w:rsid w:val="25B3069D"/>
    <w:rsid w:val="25E46AA9"/>
    <w:rsid w:val="25FC3DF2"/>
    <w:rsid w:val="2661634B"/>
    <w:rsid w:val="267C76FE"/>
    <w:rsid w:val="269E0F4B"/>
    <w:rsid w:val="26AE66FA"/>
    <w:rsid w:val="26CA3EF0"/>
    <w:rsid w:val="26CD1C32"/>
    <w:rsid w:val="26CD39E1"/>
    <w:rsid w:val="26D20FF7"/>
    <w:rsid w:val="26EB4ACF"/>
    <w:rsid w:val="26EC0975"/>
    <w:rsid w:val="27335F39"/>
    <w:rsid w:val="273428CF"/>
    <w:rsid w:val="27441EF5"/>
    <w:rsid w:val="274F0899"/>
    <w:rsid w:val="2762360F"/>
    <w:rsid w:val="276500BD"/>
    <w:rsid w:val="278B7B24"/>
    <w:rsid w:val="27B34984"/>
    <w:rsid w:val="27C272BD"/>
    <w:rsid w:val="27C76682"/>
    <w:rsid w:val="27CE17BE"/>
    <w:rsid w:val="27DE3B46"/>
    <w:rsid w:val="27E15995"/>
    <w:rsid w:val="27FF7BCA"/>
    <w:rsid w:val="28711E55"/>
    <w:rsid w:val="288B76AF"/>
    <w:rsid w:val="28BA534D"/>
    <w:rsid w:val="29015BC3"/>
    <w:rsid w:val="291D0C4F"/>
    <w:rsid w:val="2927562A"/>
    <w:rsid w:val="292E4C0A"/>
    <w:rsid w:val="29385A89"/>
    <w:rsid w:val="29543F45"/>
    <w:rsid w:val="295B3526"/>
    <w:rsid w:val="29B42C36"/>
    <w:rsid w:val="29B449E4"/>
    <w:rsid w:val="29DB7EA5"/>
    <w:rsid w:val="29EE6148"/>
    <w:rsid w:val="2A1D07DB"/>
    <w:rsid w:val="2A45121D"/>
    <w:rsid w:val="2A622692"/>
    <w:rsid w:val="2A68414C"/>
    <w:rsid w:val="2AD52E64"/>
    <w:rsid w:val="2AE31A25"/>
    <w:rsid w:val="2AF31299"/>
    <w:rsid w:val="2AFE07E4"/>
    <w:rsid w:val="2B057D8B"/>
    <w:rsid w:val="2B3C1135"/>
    <w:rsid w:val="2B7B3A0B"/>
    <w:rsid w:val="2B82123D"/>
    <w:rsid w:val="2B85488A"/>
    <w:rsid w:val="2BB933F7"/>
    <w:rsid w:val="2BF81500"/>
    <w:rsid w:val="2C163734"/>
    <w:rsid w:val="2C385DA0"/>
    <w:rsid w:val="2C491D5B"/>
    <w:rsid w:val="2C493B09"/>
    <w:rsid w:val="2C6E17C2"/>
    <w:rsid w:val="2C803EDB"/>
    <w:rsid w:val="2CB01DDA"/>
    <w:rsid w:val="2CBF5B79"/>
    <w:rsid w:val="2CC633AC"/>
    <w:rsid w:val="2CCD473A"/>
    <w:rsid w:val="2CD05FD9"/>
    <w:rsid w:val="2CD23AFF"/>
    <w:rsid w:val="2CDC672B"/>
    <w:rsid w:val="2CE101E6"/>
    <w:rsid w:val="2D0B7011"/>
    <w:rsid w:val="2D125BFD"/>
    <w:rsid w:val="2D306A77"/>
    <w:rsid w:val="2D3E73E6"/>
    <w:rsid w:val="2D517119"/>
    <w:rsid w:val="2D6B7AAF"/>
    <w:rsid w:val="2D8B5B8A"/>
    <w:rsid w:val="2D99286E"/>
    <w:rsid w:val="2DB476A8"/>
    <w:rsid w:val="2DC85545"/>
    <w:rsid w:val="2DE20E37"/>
    <w:rsid w:val="2E187C37"/>
    <w:rsid w:val="2E204D3E"/>
    <w:rsid w:val="2E222864"/>
    <w:rsid w:val="2E450300"/>
    <w:rsid w:val="2E474078"/>
    <w:rsid w:val="2E5C5409"/>
    <w:rsid w:val="2E620EB2"/>
    <w:rsid w:val="2E725511"/>
    <w:rsid w:val="2E7806D6"/>
    <w:rsid w:val="2E7D3F3E"/>
    <w:rsid w:val="2E816674"/>
    <w:rsid w:val="2EA9088F"/>
    <w:rsid w:val="2EAB2859"/>
    <w:rsid w:val="2EAE5EA6"/>
    <w:rsid w:val="2EB72FAC"/>
    <w:rsid w:val="2EBC05C2"/>
    <w:rsid w:val="2EC92CDF"/>
    <w:rsid w:val="2F0106CB"/>
    <w:rsid w:val="2F087CAC"/>
    <w:rsid w:val="2F0B5474"/>
    <w:rsid w:val="2F4A524B"/>
    <w:rsid w:val="2F594063"/>
    <w:rsid w:val="2F725125"/>
    <w:rsid w:val="2F9C21A2"/>
    <w:rsid w:val="2FCF4325"/>
    <w:rsid w:val="2FDE0A0C"/>
    <w:rsid w:val="300246FB"/>
    <w:rsid w:val="30204B81"/>
    <w:rsid w:val="30406FD1"/>
    <w:rsid w:val="304E16EE"/>
    <w:rsid w:val="306F40B0"/>
    <w:rsid w:val="308C6234"/>
    <w:rsid w:val="30980BBB"/>
    <w:rsid w:val="309D08C8"/>
    <w:rsid w:val="309D4424"/>
    <w:rsid w:val="30BD4AC6"/>
    <w:rsid w:val="30DF4A3C"/>
    <w:rsid w:val="30EE1C38"/>
    <w:rsid w:val="310B3A83"/>
    <w:rsid w:val="310B5831"/>
    <w:rsid w:val="31104BF6"/>
    <w:rsid w:val="312132A7"/>
    <w:rsid w:val="31295CB7"/>
    <w:rsid w:val="31491AE3"/>
    <w:rsid w:val="31640F25"/>
    <w:rsid w:val="31794E91"/>
    <w:rsid w:val="319A0963"/>
    <w:rsid w:val="31CA34A3"/>
    <w:rsid w:val="31EE13DB"/>
    <w:rsid w:val="31FC517A"/>
    <w:rsid w:val="32A221C5"/>
    <w:rsid w:val="32DA54BB"/>
    <w:rsid w:val="32F01183"/>
    <w:rsid w:val="32F56799"/>
    <w:rsid w:val="3321758E"/>
    <w:rsid w:val="33573EDC"/>
    <w:rsid w:val="337E019D"/>
    <w:rsid w:val="33B73A4E"/>
    <w:rsid w:val="33BE302F"/>
    <w:rsid w:val="33C323F3"/>
    <w:rsid w:val="33CA2E03"/>
    <w:rsid w:val="33EA1D1B"/>
    <w:rsid w:val="34120C85"/>
    <w:rsid w:val="3436661A"/>
    <w:rsid w:val="3442156A"/>
    <w:rsid w:val="34457FCB"/>
    <w:rsid w:val="34525525"/>
    <w:rsid w:val="345474EF"/>
    <w:rsid w:val="34592D57"/>
    <w:rsid w:val="346239BA"/>
    <w:rsid w:val="34A43FD3"/>
    <w:rsid w:val="34C24459"/>
    <w:rsid w:val="34F75F1F"/>
    <w:rsid w:val="34FF745B"/>
    <w:rsid w:val="35040F15"/>
    <w:rsid w:val="351759D1"/>
    <w:rsid w:val="351D5B33"/>
    <w:rsid w:val="35260E8C"/>
    <w:rsid w:val="354C01C6"/>
    <w:rsid w:val="35566474"/>
    <w:rsid w:val="358856A2"/>
    <w:rsid w:val="358D4A67"/>
    <w:rsid w:val="35FF348B"/>
    <w:rsid w:val="360D204B"/>
    <w:rsid w:val="367407E3"/>
    <w:rsid w:val="368D0A96"/>
    <w:rsid w:val="368F0CB2"/>
    <w:rsid w:val="36A06A70"/>
    <w:rsid w:val="36CE17DB"/>
    <w:rsid w:val="36D51A51"/>
    <w:rsid w:val="36F6663C"/>
    <w:rsid w:val="36F86858"/>
    <w:rsid w:val="376932B2"/>
    <w:rsid w:val="378337B1"/>
    <w:rsid w:val="37977E1F"/>
    <w:rsid w:val="379F0A81"/>
    <w:rsid w:val="37D44BCF"/>
    <w:rsid w:val="37F25055"/>
    <w:rsid w:val="386121DB"/>
    <w:rsid w:val="38A24CCD"/>
    <w:rsid w:val="38B14F10"/>
    <w:rsid w:val="38B60778"/>
    <w:rsid w:val="38B844F1"/>
    <w:rsid w:val="38C369F1"/>
    <w:rsid w:val="38EF3C8A"/>
    <w:rsid w:val="3907358F"/>
    <w:rsid w:val="392576AC"/>
    <w:rsid w:val="39783C80"/>
    <w:rsid w:val="398C14D9"/>
    <w:rsid w:val="398E6F39"/>
    <w:rsid w:val="399573F2"/>
    <w:rsid w:val="39FC040D"/>
    <w:rsid w:val="3A013C75"/>
    <w:rsid w:val="3A2E433E"/>
    <w:rsid w:val="3A305520"/>
    <w:rsid w:val="3A4818A4"/>
    <w:rsid w:val="3A540249"/>
    <w:rsid w:val="3A541FF7"/>
    <w:rsid w:val="3A992100"/>
    <w:rsid w:val="3AAA7E69"/>
    <w:rsid w:val="3AB94550"/>
    <w:rsid w:val="3ACA4067"/>
    <w:rsid w:val="3AEA4709"/>
    <w:rsid w:val="3B001EA4"/>
    <w:rsid w:val="3B082DE1"/>
    <w:rsid w:val="3B2267DF"/>
    <w:rsid w:val="3B331C0C"/>
    <w:rsid w:val="3B3836C7"/>
    <w:rsid w:val="3B3D0CDD"/>
    <w:rsid w:val="3B3D2A8B"/>
    <w:rsid w:val="3B8701AA"/>
    <w:rsid w:val="3B954675"/>
    <w:rsid w:val="3B9F5FB0"/>
    <w:rsid w:val="3BE41159"/>
    <w:rsid w:val="3C137C90"/>
    <w:rsid w:val="3C371BD0"/>
    <w:rsid w:val="3C44609B"/>
    <w:rsid w:val="3C526A0A"/>
    <w:rsid w:val="3C622294"/>
    <w:rsid w:val="3C656DD3"/>
    <w:rsid w:val="3C797AF3"/>
    <w:rsid w:val="3C7C3A87"/>
    <w:rsid w:val="3C7C5835"/>
    <w:rsid w:val="3CAF1767"/>
    <w:rsid w:val="3CB61E3C"/>
    <w:rsid w:val="3CD4741F"/>
    <w:rsid w:val="3CE21C24"/>
    <w:rsid w:val="3CE8111C"/>
    <w:rsid w:val="3CEA279F"/>
    <w:rsid w:val="3D053A7C"/>
    <w:rsid w:val="3D6A38DF"/>
    <w:rsid w:val="3D712EC0"/>
    <w:rsid w:val="3D874491"/>
    <w:rsid w:val="3DCB25D0"/>
    <w:rsid w:val="3DD516A1"/>
    <w:rsid w:val="3E38578C"/>
    <w:rsid w:val="3E3A59A8"/>
    <w:rsid w:val="3E4D56DB"/>
    <w:rsid w:val="3E726EF0"/>
    <w:rsid w:val="3E815385"/>
    <w:rsid w:val="3EE17BD1"/>
    <w:rsid w:val="3F073ADC"/>
    <w:rsid w:val="3F1D6580"/>
    <w:rsid w:val="3F220916"/>
    <w:rsid w:val="3F253F62"/>
    <w:rsid w:val="3F460482"/>
    <w:rsid w:val="3F4E2015"/>
    <w:rsid w:val="3F5D36FC"/>
    <w:rsid w:val="3F7722E4"/>
    <w:rsid w:val="3F7F7B16"/>
    <w:rsid w:val="3FAA5D1E"/>
    <w:rsid w:val="3FBE7F13"/>
    <w:rsid w:val="40161AFD"/>
    <w:rsid w:val="401F09B1"/>
    <w:rsid w:val="40503261"/>
    <w:rsid w:val="40C559FD"/>
    <w:rsid w:val="41024F18"/>
    <w:rsid w:val="41210759"/>
    <w:rsid w:val="412B15D8"/>
    <w:rsid w:val="41911D83"/>
    <w:rsid w:val="41CC6917"/>
    <w:rsid w:val="41F67E38"/>
    <w:rsid w:val="421F738E"/>
    <w:rsid w:val="423821FE"/>
    <w:rsid w:val="427A2817"/>
    <w:rsid w:val="42980EEF"/>
    <w:rsid w:val="42CB4E20"/>
    <w:rsid w:val="42D46E43"/>
    <w:rsid w:val="42FA5706"/>
    <w:rsid w:val="432C0305"/>
    <w:rsid w:val="435766B4"/>
    <w:rsid w:val="438C068B"/>
    <w:rsid w:val="438D20D6"/>
    <w:rsid w:val="438F5E4E"/>
    <w:rsid w:val="439873F8"/>
    <w:rsid w:val="43AA2C88"/>
    <w:rsid w:val="43DB5537"/>
    <w:rsid w:val="43E97C54"/>
    <w:rsid w:val="43F0583F"/>
    <w:rsid w:val="44032F1B"/>
    <w:rsid w:val="440C56F0"/>
    <w:rsid w:val="441B5933"/>
    <w:rsid w:val="44224F14"/>
    <w:rsid w:val="443609BF"/>
    <w:rsid w:val="44366C11"/>
    <w:rsid w:val="444C3D3F"/>
    <w:rsid w:val="44CD30D2"/>
    <w:rsid w:val="44D3620E"/>
    <w:rsid w:val="44D97CC8"/>
    <w:rsid w:val="450308A1"/>
    <w:rsid w:val="455E01CE"/>
    <w:rsid w:val="458F7371"/>
    <w:rsid w:val="45A80BA1"/>
    <w:rsid w:val="45B778DE"/>
    <w:rsid w:val="45BF03B1"/>
    <w:rsid w:val="45CA13BF"/>
    <w:rsid w:val="45CF69D6"/>
    <w:rsid w:val="45F8417E"/>
    <w:rsid w:val="46024FFD"/>
    <w:rsid w:val="460E6A76"/>
    <w:rsid w:val="46207231"/>
    <w:rsid w:val="462211FB"/>
    <w:rsid w:val="462F3918"/>
    <w:rsid w:val="46933EA7"/>
    <w:rsid w:val="46A66DB6"/>
    <w:rsid w:val="46BF4C9C"/>
    <w:rsid w:val="46CB1893"/>
    <w:rsid w:val="47044DA5"/>
    <w:rsid w:val="470B4AD8"/>
    <w:rsid w:val="47103196"/>
    <w:rsid w:val="47150D60"/>
    <w:rsid w:val="47354F5E"/>
    <w:rsid w:val="473A3B64"/>
    <w:rsid w:val="47486A40"/>
    <w:rsid w:val="476A10AC"/>
    <w:rsid w:val="47783581"/>
    <w:rsid w:val="478163F5"/>
    <w:rsid w:val="47B71E17"/>
    <w:rsid w:val="47F92430"/>
    <w:rsid w:val="482254E2"/>
    <w:rsid w:val="48362D3C"/>
    <w:rsid w:val="4840005F"/>
    <w:rsid w:val="485760FA"/>
    <w:rsid w:val="48733F90"/>
    <w:rsid w:val="488F68F0"/>
    <w:rsid w:val="48A24875"/>
    <w:rsid w:val="48D367DD"/>
    <w:rsid w:val="49044BE8"/>
    <w:rsid w:val="492B486B"/>
    <w:rsid w:val="49302F0F"/>
    <w:rsid w:val="493D634C"/>
    <w:rsid w:val="49DC3DB7"/>
    <w:rsid w:val="49F509D5"/>
    <w:rsid w:val="4A182C10"/>
    <w:rsid w:val="4A2073B6"/>
    <w:rsid w:val="4A2D4613"/>
    <w:rsid w:val="4A985F30"/>
    <w:rsid w:val="4AA8171D"/>
    <w:rsid w:val="4AD056CA"/>
    <w:rsid w:val="4ADF50BC"/>
    <w:rsid w:val="4AF33166"/>
    <w:rsid w:val="4B090BDC"/>
    <w:rsid w:val="4B15132F"/>
    <w:rsid w:val="4B1650A7"/>
    <w:rsid w:val="4B2E0642"/>
    <w:rsid w:val="4B577B99"/>
    <w:rsid w:val="4B7818BD"/>
    <w:rsid w:val="4B8169C4"/>
    <w:rsid w:val="4B8B15F1"/>
    <w:rsid w:val="4BB23021"/>
    <w:rsid w:val="4BCD39B7"/>
    <w:rsid w:val="4BD56D10"/>
    <w:rsid w:val="4BD905AE"/>
    <w:rsid w:val="4BEE392E"/>
    <w:rsid w:val="4BF519DD"/>
    <w:rsid w:val="4C0D46FC"/>
    <w:rsid w:val="4C5E4F57"/>
    <w:rsid w:val="4C797855"/>
    <w:rsid w:val="4C8C73CE"/>
    <w:rsid w:val="4CA7245A"/>
    <w:rsid w:val="4CAE1A3B"/>
    <w:rsid w:val="4CB44B77"/>
    <w:rsid w:val="4CB57B17"/>
    <w:rsid w:val="4CC90623"/>
    <w:rsid w:val="4CE372B9"/>
    <w:rsid w:val="4CF65190"/>
    <w:rsid w:val="4D3857A8"/>
    <w:rsid w:val="4D752558"/>
    <w:rsid w:val="4D7F5185"/>
    <w:rsid w:val="4DA12ACA"/>
    <w:rsid w:val="4DBC0187"/>
    <w:rsid w:val="4DD059E1"/>
    <w:rsid w:val="4DD86643"/>
    <w:rsid w:val="4DED20EF"/>
    <w:rsid w:val="4DF255AB"/>
    <w:rsid w:val="4E5C1022"/>
    <w:rsid w:val="4E6323B1"/>
    <w:rsid w:val="4E710F72"/>
    <w:rsid w:val="4EA07161"/>
    <w:rsid w:val="4EB175C0"/>
    <w:rsid w:val="4ED223D5"/>
    <w:rsid w:val="4F231B40"/>
    <w:rsid w:val="4F42646A"/>
    <w:rsid w:val="4F6208BA"/>
    <w:rsid w:val="4F9071D6"/>
    <w:rsid w:val="4F9273F2"/>
    <w:rsid w:val="50131BB5"/>
    <w:rsid w:val="504C4B0E"/>
    <w:rsid w:val="50974594"/>
    <w:rsid w:val="50A5479F"/>
    <w:rsid w:val="50BB0282"/>
    <w:rsid w:val="50DE21C3"/>
    <w:rsid w:val="510F4A72"/>
    <w:rsid w:val="513A1AEF"/>
    <w:rsid w:val="513D11E4"/>
    <w:rsid w:val="51505381"/>
    <w:rsid w:val="517A30B4"/>
    <w:rsid w:val="517B2107"/>
    <w:rsid w:val="519B6306"/>
    <w:rsid w:val="51B353FD"/>
    <w:rsid w:val="51F6353C"/>
    <w:rsid w:val="51F95890"/>
    <w:rsid w:val="521B67F5"/>
    <w:rsid w:val="523C3645"/>
    <w:rsid w:val="52412A09"/>
    <w:rsid w:val="5245699D"/>
    <w:rsid w:val="52466271"/>
    <w:rsid w:val="524A1A8B"/>
    <w:rsid w:val="524C1847"/>
    <w:rsid w:val="52953939"/>
    <w:rsid w:val="52975A47"/>
    <w:rsid w:val="52B91C4B"/>
    <w:rsid w:val="52DB4C0C"/>
    <w:rsid w:val="531225F7"/>
    <w:rsid w:val="531719BC"/>
    <w:rsid w:val="53470203"/>
    <w:rsid w:val="535E583D"/>
    <w:rsid w:val="538E6122"/>
    <w:rsid w:val="539F20DD"/>
    <w:rsid w:val="53E45D42"/>
    <w:rsid w:val="54161C73"/>
    <w:rsid w:val="541C54DC"/>
    <w:rsid w:val="54216F96"/>
    <w:rsid w:val="54295E4B"/>
    <w:rsid w:val="542E7E2D"/>
    <w:rsid w:val="54354E9B"/>
    <w:rsid w:val="543D36A4"/>
    <w:rsid w:val="544D38E7"/>
    <w:rsid w:val="54534C76"/>
    <w:rsid w:val="545509EE"/>
    <w:rsid w:val="54624EB9"/>
    <w:rsid w:val="546450D5"/>
    <w:rsid w:val="546E1AAF"/>
    <w:rsid w:val="54901DF5"/>
    <w:rsid w:val="54BC281B"/>
    <w:rsid w:val="54C17E31"/>
    <w:rsid w:val="54F87C4D"/>
    <w:rsid w:val="55164621"/>
    <w:rsid w:val="552D4350"/>
    <w:rsid w:val="553D1BAE"/>
    <w:rsid w:val="554967A4"/>
    <w:rsid w:val="554A7E27"/>
    <w:rsid w:val="556829A3"/>
    <w:rsid w:val="556F1F83"/>
    <w:rsid w:val="55833339"/>
    <w:rsid w:val="55A42BC3"/>
    <w:rsid w:val="55BD11F1"/>
    <w:rsid w:val="55C220B3"/>
    <w:rsid w:val="55F3226C"/>
    <w:rsid w:val="55F54236"/>
    <w:rsid w:val="55FB7373"/>
    <w:rsid w:val="55FE508E"/>
    <w:rsid w:val="56026953"/>
    <w:rsid w:val="560C1580"/>
    <w:rsid w:val="56226FF5"/>
    <w:rsid w:val="568D0913"/>
    <w:rsid w:val="56E878F7"/>
    <w:rsid w:val="572D42D7"/>
    <w:rsid w:val="57342B3C"/>
    <w:rsid w:val="578810DA"/>
    <w:rsid w:val="578C4726"/>
    <w:rsid w:val="578C6870"/>
    <w:rsid w:val="57931F59"/>
    <w:rsid w:val="57A31A70"/>
    <w:rsid w:val="57E04A72"/>
    <w:rsid w:val="586609A1"/>
    <w:rsid w:val="58A41254"/>
    <w:rsid w:val="58B55EFF"/>
    <w:rsid w:val="58D345D7"/>
    <w:rsid w:val="58E16CF4"/>
    <w:rsid w:val="590824D3"/>
    <w:rsid w:val="5932754F"/>
    <w:rsid w:val="59747B68"/>
    <w:rsid w:val="598F49A2"/>
    <w:rsid w:val="59904620"/>
    <w:rsid w:val="599B193E"/>
    <w:rsid w:val="59AD307A"/>
    <w:rsid w:val="59C7413C"/>
    <w:rsid w:val="59D24F7D"/>
    <w:rsid w:val="59E3084A"/>
    <w:rsid w:val="59F42A57"/>
    <w:rsid w:val="5A184997"/>
    <w:rsid w:val="5A3B2434"/>
    <w:rsid w:val="5A4C2893"/>
    <w:rsid w:val="5A564099"/>
    <w:rsid w:val="5A623E64"/>
    <w:rsid w:val="5A706581"/>
    <w:rsid w:val="5AC24903"/>
    <w:rsid w:val="5AC8016B"/>
    <w:rsid w:val="5B4672E2"/>
    <w:rsid w:val="5B6065F6"/>
    <w:rsid w:val="5C076A71"/>
    <w:rsid w:val="5C5679F9"/>
    <w:rsid w:val="5C5D2B35"/>
    <w:rsid w:val="5C757E7F"/>
    <w:rsid w:val="5C7C1A2B"/>
    <w:rsid w:val="5C9F314E"/>
    <w:rsid w:val="5CC606DB"/>
    <w:rsid w:val="5D123920"/>
    <w:rsid w:val="5D215911"/>
    <w:rsid w:val="5D220156"/>
    <w:rsid w:val="5D2673CB"/>
    <w:rsid w:val="5D2B49E2"/>
    <w:rsid w:val="5D2C42B6"/>
    <w:rsid w:val="5D4810F0"/>
    <w:rsid w:val="5D5A52C7"/>
    <w:rsid w:val="5D681792"/>
    <w:rsid w:val="5D6B3790"/>
    <w:rsid w:val="5D8F6D1E"/>
    <w:rsid w:val="5D9E51B4"/>
    <w:rsid w:val="5DB015A8"/>
    <w:rsid w:val="5DC42740"/>
    <w:rsid w:val="5DD24E5D"/>
    <w:rsid w:val="5DD92690"/>
    <w:rsid w:val="5DF272AD"/>
    <w:rsid w:val="5E0F60B1"/>
    <w:rsid w:val="5E2356B9"/>
    <w:rsid w:val="5E3B6EA6"/>
    <w:rsid w:val="5E4A70E9"/>
    <w:rsid w:val="5E4F2952"/>
    <w:rsid w:val="5E5B4E53"/>
    <w:rsid w:val="5E5D6E1D"/>
    <w:rsid w:val="5E766130"/>
    <w:rsid w:val="5E9465B6"/>
    <w:rsid w:val="5EE72B8A"/>
    <w:rsid w:val="5EEF69D1"/>
    <w:rsid w:val="5F571ABE"/>
    <w:rsid w:val="5F5F4E16"/>
    <w:rsid w:val="5F9525E6"/>
    <w:rsid w:val="5FED41D0"/>
    <w:rsid w:val="5FF11F12"/>
    <w:rsid w:val="60031C46"/>
    <w:rsid w:val="600F05EB"/>
    <w:rsid w:val="603040BD"/>
    <w:rsid w:val="6071095D"/>
    <w:rsid w:val="608A1A1F"/>
    <w:rsid w:val="60932FCA"/>
    <w:rsid w:val="609D1752"/>
    <w:rsid w:val="60EF4DCF"/>
    <w:rsid w:val="60FF244A"/>
    <w:rsid w:val="6106735A"/>
    <w:rsid w:val="6110461A"/>
    <w:rsid w:val="611539DF"/>
    <w:rsid w:val="611A0FF5"/>
    <w:rsid w:val="61251748"/>
    <w:rsid w:val="612754C0"/>
    <w:rsid w:val="61291238"/>
    <w:rsid w:val="614C3178"/>
    <w:rsid w:val="614D13CA"/>
    <w:rsid w:val="61785D1C"/>
    <w:rsid w:val="619743F4"/>
    <w:rsid w:val="619B499D"/>
    <w:rsid w:val="61B36FE8"/>
    <w:rsid w:val="61D411AD"/>
    <w:rsid w:val="61D65614"/>
    <w:rsid w:val="61E43E93"/>
    <w:rsid w:val="61E909C7"/>
    <w:rsid w:val="61ED495B"/>
    <w:rsid w:val="61FC4B9F"/>
    <w:rsid w:val="6208709F"/>
    <w:rsid w:val="623205C0"/>
    <w:rsid w:val="625F09B3"/>
    <w:rsid w:val="626D33A6"/>
    <w:rsid w:val="627A14BA"/>
    <w:rsid w:val="627B76B3"/>
    <w:rsid w:val="62A72D5C"/>
    <w:rsid w:val="62A82630"/>
    <w:rsid w:val="62AA63A9"/>
    <w:rsid w:val="62C3746A"/>
    <w:rsid w:val="62D41677"/>
    <w:rsid w:val="62DA61D7"/>
    <w:rsid w:val="630006BE"/>
    <w:rsid w:val="63302D52"/>
    <w:rsid w:val="633A597E"/>
    <w:rsid w:val="634B7B8C"/>
    <w:rsid w:val="634E4F86"/>
    <w:rsid w:val="63516C64"/>
    <w:rsid w:val="63611ED4"/>
    <w:rsid w:val="63DD0C22"/>
    <w:rsid w:val="63F27EFF"/>
    <w:rsid w:val="640D3093"/>
    <w:rsid w:val="6417181C"/>
    <w:rsid w:val="6451092D"/>
    <w:rsid w:val="64526CF8"/>
    <w:rsid w:val="646F78AA"/>
    <w:rsid w:val="648F1CFA"/>
    <w:rsid w:val="64CA2D32"/>
    <w:rsid w:val="64F733FB"/>
    <w:rsid w:val="65055B18"/>
    <w:rsid w:val="65124F54"/>
    <w:rsid w:val="651D7306"/>
    <w:rsid w:val="6522491C"/>
    <w:rsid w:val="65314BDF"/>
    <w:rsid w:val="65393D8E"/>
    <w:rsid w:val="65534AD5"/>
    <w:rsid w:val="657809E0"/>
    <w:rsid w:val="657A6D3B"/>
    <w:rsid w:val="659A2704"/>
    <w:rsid w:val="65A96DEB"/>
    <w:rsid w:val="65DE4CE7"/>
    <w:rsid w:val="65F04A1A"/>
    <w:rsid w:val="6661498A"/>
    <w:rsid w:val="66B26720"/>
    <w:rsid w:val="66C20165"/>
    <w:rsid w:val="66D71736"/>
    <w:rsid w:val="67114C48"/>
    <w:rsid w:val="674C3ED2"/>
    <w:rsid w:val="6759039D"/>
    <w:rsid w:val="675D7E8D"/>
    <w:rsid w:val="677B47B7"/>
    <w:rsid w:val="677F6056"/>
    <w:rsid w:val="67C00C9D"/>
    <w:rsid w:val="67CD5013"/>
    <w:rsid w:val="68155815"/>
    <w:rsid w:val="682E182A"/>
    <w:rsid w:val="685079F2"/>
    <w:rsid w:val="68684D3C"/>
    <w:rsid w:val="689773CF"/>
    <w:rsid w:val="68B3550A"/>
    <w:rsid w:val="68BB130F"/>
    <w:rsid w:val="68EF4B15"/>
    <w:rsid w:val="68F80968"/>
    <w:rsid w:val="692C5A97"/>
    <w:rsid w:val="692F13B6"/>
    <w:rsid w:val="695138EE"/>
    <w:rsid w:val="69670B4F"/>
    <w:rsid w:val="697414BE"/>
    <w:rsid w:val="697A2F79"/>
    <w:rsid w:val="697D7120"/>
    <w:rsid w:val="698F62F8"/>
    <w:rsid w:val="69A027AA"/>
    <w:rsid w:val="69DD7064"/>
    <w:rsid w:val="69F525FF"/>
    <w:rsid w:val="69F543AD"/>
    <w:rsid w:val="6A2B6021"/>
    <w:rsid w:val="6A3D5D54"/>
    <w:rsid w:val="6A4B6E8A"/>
    <w:rsid w:val="6A5407DE"/>
    <w:rsid w:val="6A554E4C"/>
    <w:rsid w:val="6A7258CF"/>
    <w:rsid w:val="6A890F99"/>
    <w:rsid w:val="6AA54025"/>
    <w:rsid w:val="6AAA163C"/>
    <w:rsid w:val="6ACA583A"/>
    <w:rsid w:val="6AE901F4"/>
    <w:rsid w:val="6AF01018"/>
    <w:rsid w:val="6B0625EA"/>
    <w:rsid w:val="6B0E324B"/>
    <w:rsid w:val="6B517D09"/>
    <w:rsid w:val="6B792DBC"/>
    <w:rsid w:val="6B804A78"/>
    <w:rsid w:val="6B841E8D"/>
    <w:rsid w:val="6B916358"/>
    <w:rsid w:val="6B923E7E"/>
    <w:rsid w:val="6B946502"/>
    <w:rsid w:val="6B9B2D32"/>
    <w:rsid w:val="6BA047ED"/>
    <w:rsid w:val="6BC95AF1"/>
    <w:rsid w:val="6BD10E4A"/>
    <w:rsid w:val="6BD149A6"/>
    <w:rsid w:val="6BD91AAD"/>
    <w:rsid w:val="6BDB5825"/>
    <w:rsid w:val="6BFE3DDA"/>
    <w:rsid w:val="6C152AE5"/>
    <w:rsid w:val="6C1F5711"/>
    <w:rsid w:val="6C3C2767"/>
    <w:rsid w:val="6C4B4758"/>
    <w:rsid w:val="6C6505B8"/>
    <w:rsid w:val="6C787517"/>
    <w:rsid w:val="6C7C0DB6"/>
    <w:rsid w:val="6C8B0FF9"/>
    <w:rsid w:val="6CAD5413"/>
    <w:rsid w:val="6CCD7863"/>
    <w:rsid w:val="6CDE55CC"/>
    <w:rsid w:val="6CEB7CE9"/>
    <w:rsid w:val="6D193F0A"/>
    <w:rsid w:val="6D3B2A1F"/>
    <w:rsid w:val="6D3C22F3"/>
    <w:rsid w:val="6D43073E"/>
    <w:rsid w:val="6D486EEA"/>
    <w:rsid w:val="6D5D0BE7"/>
    <w:rsid w:val="6D610E3F"/>
    <w:rsid w:val="6D745F31"/>
    <w:rsid w:val="6D7C6B93"/>
    <w:rsid w:val="6DA57E98"/>
    <w:rsid w:val="6DFB21AE"/>
    <w:rsid w:val="6E526272"/>
    <w:rsid w:val="6E7C509D"/>
    <w:rsid w:val="6EA026EB"/>
    <w:rsid w:val="6EA840E4"/>
    <w:rsid w:val="6EAE7221"/>
    <w:rsid w:val="6EEB3FD1"/>
    <w:rsid w:val="6EFA06B8"/>
    <w:rsid w:val="6F265009"/>
    <w:rsid w:val="6F490CF7"/>
    <w:rsid w:val="6F655B31"/>
    <w:rsid w:val="6F8D32DA"/>
    <w:rsid w:val="6F912DCA"/>
    <w:rsid w:val="6F96218E"/>
    <w:rsid w:val="6F9629C5"/>
    <w:rsid w:val="6F975F07"/>
    <w:rsid w:val="6FB72105"/>
    <w:rsid w:val="6FBB7E47"/>
    <w:rsid w:val="6FDB2297"/>
    <w:rsid w:val="70512559"/>
    <w:rsid w:val="705F6A24"/>
    <w:rsid w:val="70645DE9"/>
    <w:rsid w:val="70783B18"/>
    <w:rsid w:val="709541F4"/>
    <w:rsid w:val="70983CE4"/>
    <w:rsid w:val="70A628A5"/>
    <w:rsid w:val="70AB19FF"/>
    <w:rsid w:val="70CE7706"/>
    <w:rsid w:val="70D0347E"/>
    <w:rsid w:val="70F3716D"/>
    <w:rsid w:val="71017ADB"/>
    <w:rsid w:val="710B44B6"/>
    <w:rsid w:val="710E3FA6"/>
    <w:rsid w:val="711F61B4"/>
    <w:rsid w:val="7121017E"/>
    <w:rsid w:val="71397275"/>
    <w:rsid w:val="715F2A54"/>
    <w:rsid w:val="71744751"/>
    <w:rsid w:val="718D5813"/>
    <w:rsid w:val="71973F9C"/>
    <w:rsid w:val="71997D14"/>
    <w:rsid w:val="719B468D"/>
    <w:rsid w:val="71A359F0"/>
    <w:rsid w:val="71B42DA0"/>
    <w:rsid w:val="71BB2380"/>
    <w:rsid w:val="722E2B52"/>
    <w:rsid w:val="72395053"/>
    <w:rsid w:val="72555F76"/>
    <w:rsid w:val="726A16B0"/>
    <w:rsid w:val="729F135A"/>
    <w:rsid w:val="729F75AC"/>
    <w:rsid w:val="72A44FDB"/>
    <w:rsid w:val="72BF7C4E"/>
    <w:rsid w:val="72C2773E"/>
    <w:rsid w:val="72CB65F3"/>
    <w:rsid w:val="72E43211"/>
    <w:rsid w:val="72F21DD2"/>
    <w:rsid w:val="73092C77"/>
    <w:rsid w:val="730B4C41"/>
    <w:rsid w:val="7329331A"/>
    <w:rsid w:val="735C36EF"/>
    <w:rsid w:val="73614861"/>
    <w:rsid w:val="73813156"/>
    <w:rsid w:val="739509AF"/>
    <w:rsid w:val="73A66718"/>
    <w:rsid w:val="73AF5300"/>
    <w:rsid w:val="73BB61C1"/>
    <w:rsid w:val="73F926CB"/>
    <w:rsid w:val="73FD0F0D"/>
    <w:rsid w:val="74017DF2"/>
    <w:rsid w:val="742A559B"/>
    <w:rsid w:val="747D56CB"/>
    <w:rsid w:val="748702F8"/>
    <w:rsid w:val="748E12E6"/>
    <w:rsid w:val="74911176"/>
    <w:rsid w:val="74AD0D79"/>
    <w:rsid w:val="74AF784E"/>
    <w:rsid w:val="74C50E20"/>
    <w:rsid w:val="74EE0377"/>
    <w:rsid w:val="750C4CA1"/>
    <w:rsid w:val="755C3532"/>
    <w:rsid w:val="755F3023"/>
    <w:rsid w:val="75703482"/>
    <w:rsid w:val="75B55A52"/>
    <w:rsid w:val="75D94B83"/>
    <w:rsid w:val="761D3B0A"/>
    <w:rsid w:val="764010A6"/>
    <w:rsid w:val="767713F3"/>
    <w:rsid w:val="76C27D0D"/>
    <w:rsid w:val="76E62152"/>
    <w:rsid w:val="76F61765"/>
    <w:rsid w:val="77071BC4"/>
    <w:rsid w:val="77316C41"/>
    <w:rsid w:val="7753269B"/>
    <w:rsid w:val="77B05DB7"/>
    <w:rsid w:val="77C47AB5"/>
    <w:rsid w:val="77D53A70"/>
    <w:rsid w:val="77D73D48"/>
    <w:rsid w:val="77DE2925"/>
    <w:rsid w:val="77EB5041"/>
    <w:rsid w:val="77FE2FC7"/>
    <w:rsid w:val="780D6D66"/>
    <w:rsid w:val="781A1483"/>
    <w:rsid w:val="7863517A"/>
    <w:rsid w:val="78947487"/>
    <w:rsid w:val="78AE6886"/>
    <w:rsid w:val="78CE0BEB"/>
    <w:rsid w:val="79052133"/>
    <w:rsid w:val="791A4F4A"/>
    <w:rsid w:val="796C624D"/>
    <w:rsid w:val="797A667D"/>
    <w:rsid w:val="79AB6836"/>
    <w:rsid w:val="79C8388C"/>
    <w:rsid w:val="79F93A46"/>
    <w:rsid w:val="79FF4DD4"/>
    <w:rsid w:val="7A170370"/>
    <w:rsid w:val="7A4A24F3"/>
    <w:rsid w:val="7A682979"/>
    <w:rsid w:val="7A925C48"/>
    <w:rsid w:val="7A992B33"/>
    <w:rsid w:val="7A9B2D4F"/>
    <w:rsid w:val="7AA95D17"/>
    <w:rsid w:val="7ABB519F"/>
    <w:rsid w:val="7AC73B44"/>
    <w:rsid w:val="7ACF29F8"/>
    <w:rsid w:val="7B010D35"/>
    <w:rsid w:val="7B1F572E"/>
    <w:rsid w:val="7B3960C4"/>
    <w:rsid w:val="7B446F42"/>
    <w:rsid w:val="7B4909FD"/>
    <w:rsid w:val="7B825CBD"/>
    <w:rsid w:val="7B8E776C"/>
    <w:rsid w:val="7B971768"/>
    <w:rsid w:val="7BD32074"/>
    <w:rsid w:val="7BD83B2F"/>
    <w:rsid w:val="7BDD1145"/>
    <w:rsid w:val="7BE424D4"/>
    <w:rsid w:val="7BEE3352"/>
    <w:rsid w:val="7C0B7A60"/>
    <w:rsid w:val="7C1B4B68"/>
    <w:rsid w:val="7C5036C5"/>
    <w:rsid w:val="7C550AD0"/>
    <w:rsid w:val="7C801AFB"/>
    <w:rsid w:val="7CA35EEB"/>
    <w:rsid w:val="7CBB5756"/>
    <w:rsid w:val="7CBC0D5A"/>
    <w:rsid w:val="7CF36E72"/>
    <w:rsid w:val="7D0821F2"/>
    <w:rsid w:val="7D0D15B6"/>
    <w:rsid w:val="7D2E53CE"/>
    <w:rsid w:val="7D39684F"/>
    <w:rsid w:val="7D6531A0"/>
    <w:rsid w:val="7D87580C"/>
    <w:rsid w:val="7DD262B9"/>
    <w:rsid w:val="7DE95B7F"/>
    <w:rsid w:val="7DEE7639"/>
    <w:rsid w:val="7DF74740"/>
    <w:rsid w:val="7E266DD3"/>
    <w:rsid w:val="7E3C65F7"/>
    <w:rsid w:val="7E4A0B26"/>
    <w:rsid w:val="7E53749D"/>
    <w:rsid w:val="7E76559E"/>
    <w:rsid w:val="7ED6157A"/>
    <w:rsid w:val="7EFC7B34"/>
    <w:rsid w:val="7F2257ED"/>
    <w:rsid w:val="7F6D458E"/>
    <w:rsid w:val="7F89586C"/>
    <w:rsid w:val="7F8A15E4"/>
    <w:rsid w:val="7F8C2C66"/>
    <w:rsid w:val="7FA06711"/>
    <w:rsid w:val="7FA75CF2"/>
    <w:rsid w:val="7FC63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qFormat="1"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200" w:firstLineChars="200"/>
      <w:jc w:val="both"/>
    </w:pPr>
    <w:rPr>
      <w:rFonts w:eastAsia="仿宋_GB2312" w:asciiTheme="minorHAnsi" w:hAnsiTheme="minorHAnsi" w:cstheme="minorBidi"/>
      <w:kern w:val="2"/>
      <w:sz w:val="32"/>
      <w:szCs w:val="22"/>
      <w:lang w:val="en-US" w:eastAsia="zh-CN" w:bidi="ar-SA"/>
    </w:rPr>
  </w:style>
  <w:style w:type="paragraph" w:styleId="3">
    <w:name w:val="heading 1"/>
    <w:basedOn w:val="1"/>
    <w:next w:val="1"/>
    <w:link w:val="44"/>
    <w:qFormat/>
    <w:uiPriority w:val="0"/>
    <w:pPr>
      <w:keepNext/>
      <w:keepLines/>
      <w:spacing w:before="340" w:after="330" w:line="578" w:lineRule="auto"/>
      <w:outlineLvl w:val="0"/>
    </w:pPr>
    <w:rPr>
      <w:rFonts w:ascii="Calibri" w:hAnsi="Calibri" w:eastAsia="宋体" w:cs="Arial"/>
      <w:b/>
      <w:bCs/>
      <w:kern w:val="44"/>
      <w:sz w:val="44"/>
      <w:szCs w:val="44"/>
    </w:rPr>
  </w:style>
  <w:style w:type="paragraph" w:styleId="4">
    <w:name w:val="heading 2"/>
    <w:basedOn w:val="1"/>
    <w:next w:val="1"/>
    <w:link w:val="45"/>
    <w:qFormat/>
    <w:uiPriority w:val="9"/>
    <w:pPr>
      <w:keepNext/>
      <w:keepLines/>
      <w:spacing w:before="260" w:after="260" w:line="415" w:lineRule="auto"/>
      <w:jc w:val="center"/>
      <w:outlineLvl w:val="1"/>
    </w:pPr>
    <w:rPr>
      <w:rFonts w:ascii="Arial" w:hAnsi="Arial" w:eastAsia="黑体" w:cs="Times New Roman"/>
      <w:bCs/>
      <w:szCs w:val="32"/>
    </w:rPr>
  </w:style>
  <w:style w:type="paragraph" w:styleId="5">
    <w:name w:val="heading 3"/>
    <w:basedOn w:val="1"/>
    <w:next w:val="1"/>
    <w:link w:val="46"/>
    <w:unhideWhenUsed/>
    <w:qFormat/>
    <w:uiPriority w:val="9"/>
    <w:pPr>
      <w:keepNext/>
      <w:keepLines/>
      <w:spacing w:before="260" w:after="260" w:line="416" w:lineRule="auto"/>
      <w:outlineLvl w:val="2"/>
    </w:pPr>
    <w:rPr>
      <w:b/>
      <w:bCs/>
      <w:szCs w:val="32"/>
    </w:rPr>
  </w:style>
  <w:style w:type="paragraph" w:styleId="6">
    <w:name w:val="heading 4"/>
    <w:basedOn w:val="1"/>
    <w:next w:val="1"/>
    <w:link w:val="47"/>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48"/>
    <w:unhideWhenUsed/>
    <w:qFormat/>
    <w:uiPriority w:val="9"/>
    <w:pPr>
      <w:keepNext/>
      <w:keepLines/>
      <w:spacing w:before="280" w:after="290" w:line="376" w:lineRule="auto"/>
      <w:outlineLvl w:val="4"/>
    </w:pPr>
    <w:rPr>
      <w:b/>
      <w:bCs/>
      <w:sz w:val="28"/>
      <w:szCs w:val="28"/>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52"/>
    <w:unhideWhenUsed/>
    <w:qFormat/>
    <w:uiPriority w:val="99"/>
    <w:pPr>
      <w:spacing w:line="560" w:lineRule="exact"/>
    </w:pPr>
  </w:style>
  <w:style w:type="paragraph" w:styleId="8">
    <w:name w:val="toc 7"/>
    <w:basedOn w:val="1"/>
    <w:next w:val="1"/>
    <w:unhideWhenUsed/>
    <w:qFormat/>
    <w:uiPriority w:val="39"/>
    <w:pPr>
      <w:ind w:left="2520" w:leftChars="1200"/>
    </w:pPr>
  </w:style>
  <w:style w:type="paragraph" w:styleId="9">
    <w:name w:val="table of authorities"/>
    <w:basedOn w:val="1"/>
    <w:next w:val="1"/>
    <w:qFormat/>
    <w:uiPriority w:val="99"/>
    <w:pPr>
      <w:ind w:left="420" w:leftChars="200"/>
    </w:pPr>
  </w:style>
  <w:style w:type="paragraph" w:styleId="10">
    <w:name w:val="Normal Indent"/>
    <w:basedOn w:val="1"/>
    <w:qFormat/>
    <w:uiPriority w:val="0"/>
    <w:pPr>
      <w:spacing w:line="360" w:lineRule="auto"/>
      <w:ind w:firstLine="420"/>
    </w:pPr>
    <w:rPr>
      <w:rFonts w:ascii="Calibri" w:hAnsi="Calibri" w:eastAsia="宋体" w:cs="Times New Roman"/>
      <w:sz w:val="28"/>
    </w:rPr>
  </w:style>
  <w:style w:type="paragraph" w:styleId="11">
    <w:name w:val="caption"/>
    <w:basedOn w:val="1"/>
    <w:next w:val="1"/>
    <w:unhideWhenUsed/>
    <w:qFormat/>
    <w:uiPriority w:val="35"/>
    <w:pPr>
      <w:keepNext/>
      <w:spacing w:line="560" w:lineRule="exact"/>
      <w:jc w:val="center"/>
    </w:pPr>
    <w:rPr>
      <w:rFonts w:eastAsia="黑体" w:asciiTheme="majorHAnsi" w:hAnsiTheme="majorHAnsi" w:cstheme="majorBidi"/>
      <w:b/>
      <w:sz w:val="24"/>
      <w:szCs w:val="20"/>
    </w:rPr>
  </w:style>
  <w:style w:type="paragraph" w:styleId="12">
    <w:name w:val="Document Map"/>
    <w:basedOn w:val="1"/>
    <w:link w:val="49"/>
    <w:semiHidden/>
    <w:unhideWhenUsed/>
    <w:qFormat/>
    <w:uiPriority w:val="99"/>
    <w:rPr>
      <w:rFonts w:ascii="宋体" w:eastAsia="宋体"/>
      <w:sz w:val="18"/>
      <w:szCs w:val="18"/>
    </w:rPr>
  </w:style>
  <w:style w:type="paragraph" w:styleId="13">
    <w:name w:val="annotation text"/>
    <w:basedOn w:val="1"/>
    <w:link w:val="50"/>
    <w:unhideWhenUsed/>
    <w:qFormat/>
    <w:uiPriority w:val="99"/>
    <w:pPr>
      <w:jc w:val="left"/>
    </w:pPr>
  </w:style>
  <w:style w:type="paragraph" w:styleId="14">
    <w:name w:val="Salutation"/>
    <w:basedOn w:val="1"/>
    <w:next w:val="1"/>
    <w:link w:val="51"/>
    <w:unhideWhenUsed/>
    <w:qFormat/>
    <w:uiPriority w:val="99"/>
    <w:rPr>
      <w:rFonts w:ascii="Calibri" w:hAnsi="Calibri"/>
    </w:rPr>
  </w:style>
  <w:style w:type="paragraph" w:styleId="15">
    <w:name w:val="Body Text Indent"/>
    <w:basedOn w:val="1"/>
    <w:link w:val="170"/>
    <w:qFormat/>
    <w:uiPriority w:val="0"/>
    <w:pPr>
      <w:spacing w:line="360" w:lineRule="auto"/>
      <w:ind w:firstLine="480" w:firstLineChars="150"/>
    </w:pPr>
    <w:rPr>
      <w:rFonts w:ascii="仿宋_GB2312" w:hAnsi="Times New Roman"/>
      <w:bCs/>
      <w:szCs w:val="32"/>
    </w:rPr>
  </w:style>
  <w:style w:type="paragraph" w:styleId="16">
    <w:name w:val="toc 5"/>
    <w:basedOn w:val="1"/>
    <w:next w:val="1"/>
    <w:unhideWhenUsed/>
    <w:qFormat/>
    <w:uiPriority w:val="39"/>
    <w:pPr>
      <w:ind w:left="1680" w:leftChars="800"/>
    </w:pPr>
  </w:style>
  <w:style w:type="paragraph" w:styleId="17">
    <w:name w:val="toc 3"/>
    <w:basedOn w:val="1"/>
    <w:next w:val="1"/>
    <w:unhideWhenUsed/>
    <w:qFormat/>
    <w:uiPriority w:val="39"/>
    <w:pPr>
      <w:ind w:left="840" w:leftChars="400"/>
    </w:pPr>
  </w:style>
  <w:style w:type="paragraph" w:styleId="18">
    <w:name w:val="Plain Text"/>
    <w:basedOn w:val="1"/>
    <w:link w:val="207"/>
    <w:qFormat/>
    <w:uiPriority w:val="0"/>
    <w:rPr>
      <w:rFonts w:ascii="宋体" w:hAnsi="Courier New" w:eastAsia="宋体" w:cs="Times New Roman"/>
      <w:szCs w:val="20"/>
    </w:rPr>
  </w:style>
  <w:style w:type="paragraph" w:styleId="19">
    <w:name w:val="toc 8"/>
    <w:basedOn w:val="1"/>
    <w:next w:val="1"/>
    <w:unhideWhenUsed/>
    <w:qFormat/>
    <w:uiPriority w:val="39"/>
    <w:pPr>
      <w:ind w:left="2940" w:leftChars="1400"/>
    </w:pPr>
  </w:style>
  <w:style w:type="paragraph" w:styleId="20">
    <w:name w:val="Body Text Indent 2"/>
    <w:basedOn w:val="1"/>
    <w:link w:val="53"/>
    <w:qFormat/>
    <w:uiPriority w:val="0"/>
    <w:pPr>
      <w:spacing w:line="480" w:lineRule="auto"/>
      <w:ind w:left="420" w:leftChars="200"/>
    </w:pPr>
    <w:rPr>
      <w:szCs w:val="24"/>
    </w:rPr>
  </w:style>
  <w:style w:type="paragraph" w:styleId="21">
    <w:name w:val="Balloon Text"/>
    <w:basedOn w:val="1"/>
    <w:link w:val="54"/>
    <w:semiHidden/>
    <w:unhideWhenUsed/>
    <w:qFormat/>
    <w:uiPriority w:val="99"/>
    <w:rPr>
      <w:sz w:val="18"/>
      <w:szCs w:val="18"/>
    </w:rPr>
  </w:style>
  <w:style w:type="paragraph" w:styleId="22">
    <w:name w:val="footer"/>
    <w:basedOn w:val="1"/>
    <w:link w:val="55"/>
    <w:unhideWhenUsed/>
    <w:qFormat/>
    <w:uiPriority w:val="99"/>
    <w:pPr>
      <w:tabs>
        <w:tab w:val="center" w:pos="4153"/>
        <w:tab w:val="right" w:pos="8306"/>
      </w:tabs>
      <w:snapToGrid w:val="0"/>
      <w:jc w:val="left"/>
    </w:pPr>
    <w:rPr>
      <w:sz w:val="18"/>
      <w:szCs w:val="18"/>
    </w:rPr>
  </w:style>
  <w:style w:type="paragraph" w:styleId="23">
    <w:name w:val="header"/>
    <w:basedOn w:val="1"/>
    <w:link w:val="56"/>
    <w:unhideWhenUsed/>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unhideWhenUsed/>
    <w:qFormat/>
    <w:uiPriority w:val="39"/>
    <w:pPr>
      <w:tabs>
        <w:tab w:val="right" w:leader="dot" w:pos="8296"/>
      </w:tabs>
      <w:spacing w:before="62" w:beforeLines="20"/>
    </w:pPr>
    <w:rPr>
      <w:rFonts w:ascii="黑体" w:eastAsia="黑体" w:cs="黑体"/>
      <w:sz w:val="28"/>
      <w:szCs w:val="24"/>
    </w:rPr>
  </w:style>
  <w:style w:type="paragraph" w:styleId="25">
    <w:name w:val="toc 4"/>
    <w:basedOn w:val="1"/>
    <w:next w:val="1"/>
    <w:unhideWhenUsed/>
    <w:qFormat/>
    <w:uiPriority w:val="39"/>
    <w:pPr>
      <w:ind w:left="1260" w:leftChars="600"/>
    </w:pPr>
  </w:style>
  <w:style w:type="paragraph" w:styleId="26">
    <w:name w:val="footnote text"/>
    <w:basedOn w:val="1"/>
    <w:link w:val="69"/>
    <w:unhideWhenUsed/>
    <w:qFormat/>
    <w:uiPriority w:val="99"/>
    <w:pPr>
      <w:suppressAutoHyphens/>
      <w:snapToGrid w:val="0"/>
      <w:spacing w:beforeLines="50" w:line="300" w:lineRule="auto"/>
      <w:jc w:val="left"/>
    </w:pPr>
    <w:rPr>
      <w:rFonts w:ascii="宋体" w:hAnsi="Times New Roman" w:eastAsia="宋体" w:cs="Times New Roman"/>
      <w:color w:val="000000"/>
      <w:kern w:val="0"/>
      <w:sz w:val="18"/>
      <w:szCs w:val="18"/>
      <w:lang w:val="en-GB"/>
    </w:rPr>
  </w:style>
  <w:style w:type="paragraph" w:styleId="27">
    <w:name w:val="toc 6"/>
    <w:basedOn w:val="1"/>
    <w:next w:val="1"/>
    <w:unhideWhenUsed/>
    <w:qFormat/>
    <w:uiPriority w:val="39"/>
    <w:pPr>
      <w:ind w:left="2100" w:leftChars="1000"/>
    </w:pPr>
  </w:style>
  <w:style w:type="paragraph" w:styleId="28">
    <w:name w:val="toc 2"/>
    <w:basedOn w:val="1"/>
    <w:next w:val="1"/>
    <w:unhideWhenUsed/>
    <w:qFormat/>
    <w:uiPriority w:val="39"/>
    <w:pPr>
      <w:tabs>
        <w:tab w:val="left" w:pos="1260"/>
        <w:tab w:val="right" w:leader="dot" w:pos="8296"/>
      </w:tabs>
      <w:spacing w:line="288" w:lineRule="auto"/>
      <w:ind w:left="420" w:leftChars="200"/>
    </w:pPr>
  </w:style>
  <w:style w:type="paragraph" w:styleId="29">
    <w:name w:val="toc 9"/>
    <w:basedOn w:val="1"/>
    <w:next w:val="1"/>
    <w:unhideWhenUsed/>
    <w:qFormat/>
    <w:uiPriority w:val="39"/>
    <w:pPr>
      <w:ind w:left="3360" w:leftChars="1600"/>
    </w:pPr>
  </w:style>
  <w:style w:type="paragraph" w:styleId="30">
    <w:name w:val="Normal (Web)"/>
    <w:basedOn w:val="1"/>
    <w:qFormat/>
    <w:uiPriority w:val="99"/>
    <w:pPr>
      <w:widowControl/>
      <w:spacing w:before="100" w:beforeAutospacing="1" w:after="100" w:afterAutospacing="1"/>
      <w:jc w:val="left"/>
    </w:pPr>
    <w:rPr>
      <w:rFonts w:ascii="宋体" w:hAnsi="Calibri" w:eastAsia="宋体" w:cs="宋体"/>
      <w:kern w:val="0"/>
      <w:szCs w:val="21"/>
    </w:rPr>
  </w:style>
  <w:style w:type="paragraph" w:styleId="31">
    <w:name w:val="Title"/>
    <w:basedOn w:val="24"/>
    <w:next w:val="1"/>
    <w:link w:val="171"/>
    <w:qFormat/>
    <w:uiPriority w:val="10"/>
    <w:pPr>
      <w:shd w:val="clear" w:color="auto" w:fill="FFFFFF" w:themeFill="background1"/>
      <w:tabs>
        <w:tab w:val="clear" w:pos="8296"/>
      </w:tabs>
      <w:spacing w:before="0" w:beforeLines="0" w:line="560" w:lineRule="exact"/>
      <w:ind w:right="210" w:firstLine="640"/>
      <w:jc w:val="center"/>
    </w:pPr>
    <w:rPr>
      <w:rFonts w:ascii="宋体" w:hAnsi="宋体" w:cs="Times New Roman" w:eastAsiaTheme="minorHAnsi"/>
      <w:b/>
      <w:caps/>
      <w:sz w:val="42"/>
      <w:szCs w:val="42"/>
    </w:rPr>
  </w:style>
  <w:style w:type="paragraph" w:styleId="32">
    <w:name w:val="annotation subject"/>
    <w:basedOn w:val="13"/>
    <w:next w:val="13"/>
    <w:link w:val="199"/>
    <w:semiHidden/>
    <w:unhideWhenUsed/>
    <w:qFormat/>
    <w:uiPriority w:val="99"/>
    <w:rPr>
      <w:b/>
      <w:bCs/>
    </w:rPr>
  </w:style>
  <w:style w:type="paragraph" w:styleId="33">
    <w:name w:val="Body Text First Indent"/>
    <w:basedOn w:val="2"/>
    <w:link w:val="172"/>
    <w:semiHidden/>
    <w:unhideWhenUsed/>
    <w:qFormat/>
    <w:uiPriority w:val="99"/>
    <w:pPr>
      <w:spacing w:line="240" w:lineRule="auto"/>
      <w:ind w:firstLine="420" w:firstLineChars="100"/>
    </w:pPr>
    <w:rPr>
      <w:rFonts w:ascii="等线" w:hAnsi="等线" w:eastAsia="宋体" w:cs="Times New Roman"/>
      <w:sz w:val="28"/>
    </w:rPr>
  </w:style>
  <w:style w:type="paragraph" w:styleId="34">
    <w:name w:val="Body Text First Indent 2"/>
    <w:basedOn w:val="15"/>
    <w:link w:val="173"/>
    <w:unhideWhenUsed/>
    <w:qFormat/>
    <w:uiPriority w:val="99"/>
    <w:pPr>
      <w:spacing w:line="240" w:lineRule="auto"/>
      <w:ind w:firstLine="0" w:firstLineChars="0"/>
      <w:jc w:val="center"/>
    </w:pPr>
    <w:rPr>
      <w:rFonts w:hAnsi="仿宋_GB2312" w:eastAsia="宋体" w:cs="Times New Roman"/>
      <w:sz w:val="21"/>
      <w:szCs w:val="24"/>
    </w:rPr>
  </w:style>
  <w:style w:type="table" w:styleId="36">
    <w:name w:val="Table Grid"/>
    <w:basedOn w:val="3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8">
    <w:name w:val="Strong"/>
    <w:basedOn w:val="37"/>
    <w:qFormat/>
    <w:uiPriority w:val="22"/>
    <w:rPr>
      <w:b/>
      <w:bCs/>
    </w:rPr>
  </w:style>
  <w:style w:type="character" w:styleId="39">
    <w:name w:val="FollowedHyperlink"/>
    <w:basedOn w:val="37"/>
    <w:semiHidden/>
    <w:unhideWhenUsed/>
    <w:qFormat/>
    <w:uiPriority w:val="99"/>
    <w:rPr>
      <w:color w:val="800080"/>
      <w:u w:val="single"/>
    </w:rPr>
  </w:style>
  <w:style w:type="character" w:styleId="40">
    <w:name w:val="Emphasis"/>
    <w:basedOn w:val="37"/>
    <w:qFormat/>
    <w:uiPriority w:val="20"/>
    <w:rPr>
      <w:color w:val="CC0000"/>
    </w:rPr>
  </w:style>
  <w:style w:type="character" w:styleId="41">
    <w:name w:val="Hyperlink"/>
    <w:basedOn w:val="37"/>
    <w:unhideWhenUsed/>
    <w:qFormat/>
    <w:uiPriority w:val="99"/>
    <w:rPr>
      <w:color w:val="0563C1" w:themeColor="hyperlink"/>
      <w:u w:val="single"/>
      <w14:textFill>
        <w14:solidFill>
          <w14:schemeClr w14:val="hlink"/>
        </w14:solidFill>
      </w14:textFill>
    </w:rPr>
  </w:style>
  <w:style w:type="character" w:styleId="42">
    <w:name w:val="annotation reference"/>
    <w:basedOn w:val="37"/>
    <w:semiHidden/>
    <w:unhideWhenUsed/>
    <w:qFormat/>
    <w:uiPriority w:val="99"/>
    <w:rPr>
      <w:sz w:val="21"/>
      <w:szCs w:val="21"/>
    </w:rPr>
  </w:style>
  <w:style w:type="character" w:styleId="43">
    <w:name w:val="footnote reference"/>
    <w:unhideWhenUsed/>
    <w:qFormat/>
    <w:uiPriority w:val="99"/>
    <w:rPr>
      <w:vertAlign w:val="superscript"/>
    </w:rPr>
  </w:style>
  <w:style w:type="character" w:customStyle="1" w:styleId="44">
    <w:name w:val="标题 1 Char"/>
    <w:basedOn w:val="37"/>
    <w:link w:val="3"/>
    <w:qFormat/>
    <w:uiPriority w:val="0"/>
    <w:rPr>
      <w:rFonts w:ascii="Calibri" w:hAnsi="Calibri" w:eastAsia="宋体" w:cs="Arial"/>
      <w:b/>
      <w:bCs/>
      <w:kern w:val="44"/>
      <w:sz w:val="44"/>
      <w:szCs w:val="44"/>
    </w:rPr>
  </w:style>
  <w:style w:type="character" w:customStyle="1" w:styleId="45">
    <w:name w:val="标题 2 Char"/>
    <w:basedOn w:val="37"/>
    <w:link w:val="4"/>
    <w:qFormat/>
    <w:uiPriority w:val="9"/>
    <w:rPr>
      <w:rFonts w:ascii="Arial" w:hAnsi="Arial" w:eastAsia="黑体" w:cs="Times New Roman"/>
      <w:bCs/>
      <w:sz w:val="32"/>
      <w:szCs w:val="32"/>
    </w:rPr>
  </w:style>
  <w:style w:type="character" w:customStyle="1" w:styleId="46">
    <w:name w:val="标题 3 Char"/>
    <w:basedOn w:val="37"/>
    <w:link w:val="5"/>
    <w:qFormat/>
    <w:uiPriority w:val="9"/>
    <w:rPr>
      <w:b/>
      <w:bCs/>
      <w:sz w:val="32"/>
      <w:szCs w:val="32"/>
    </w:rPr>
  </w:style>
  <w:style w:type="character" w:customStyle="1" w:styleId="47">
    <w:name w:val="标题 4 Char"/>
    <w:basedOn w:val="37"/>
    <w:link w:val="6"/>
    <w:qFormat/>
    <w:uiPriority w:val="9"/>
    <w:rPr>
      <w:rFonts w:asciiTheme="majorHAnsi" w:hAnsiTheme="majorHAnsi" w:eastAsiaTheme="majorEastAsia" w:cstheme="majorBidi"/>
      <w:b/>
      <w:bCs/>
      <w:sz w:val="28"/>
      <w:szCs w:val="28"/>
    </w:rPr>
  </w:style>
  <w:style w:type="character" w:customStyle="1" w:styleId="48">
    <w:name w:val="标题 5 Char"/>
    <w:basedOn w:val="37"/>
    <w:link w:val="7"/>
    <w:qFormat/>
    <w:uiPriority w:val="9"/>
    <w:rPr>
      <w:b/>
      <w:bCs/>
      <w:sz w:val="28"/>
      <w:szCs w:val="28"/>
    </w:rPr>
  </w:style>
  <w:style w:type="character" w:customStyle="1" w:styleId="49">
    <w:name w:val="文档结构图 Char"/>
    <w:basedOn w:val="37"/>
    <w:link w:val="12"/>
    <w:semiHidden/>
    <w:qFormat/>
    <w:uiPriority w:val="99"/>
    <w:rPr>
      <w:rFonts w:ascii="宋体" w:eastAsia="宋体"/>
      <w:sz w:val="18"/>
      <w:szCs w:val="18"/>
    </w:rPr>
  </w:style>
  <w:style w:type="character" w:customStyle="1" w:styleId="50">
    <w:name w:val="批注文字 Char"/>
    <w:basedOn w:val="37"/>
    <w:link w:val="13"/>
    <w:qFormat/>
    <w:uiPriority w:val="99"/>
  </w:style>
  <w:style w:type="character" w:customStyle="1" w:styleId="51">
    <w:name w:val="称呼 Char"/>
    <w:basedOn w:val="37"/>
    <w:link w:val="14"/>
    <w:qFormat/>
    <w:uiPriority w:val="99"/>
    <w:rPr>
      <w:rFonts w:ascii="Calibri" w:hAnsi="Calibri"/>
    </w:rPr>
  </w:style>
  <w:style w:type="character" w:customStyle="1" w:styleId="52">
    <w:name w:val="正文文本 Char"/>
    <w:basedOn w:val="37"/>
    <w:link w:val="2"/>
    <w:qFormat/>
    <w:uiPriority w:val="99"/>
  </w:style>
  <w:style w:type="character" w:customStyle="1" w:styleId="53">
    <w:name w:val="正文文本缩进 2 Char"/>
    <w:basedOn w:val="37"/>
    <w:link w:val="20"/>
    <w:qFormat/>
    <w:uiPriority w:val="0"/>
    <w:rPr>
      <w:szCs w:val="24"/>
    </w:rPr>
  </w:style>
  <w:style w:type="character" w:customStyle="1" w:styleId="54">
    <w:name w:val="批注框文本 Char"/>
    <w:basedOn w:val="37"/>
    <w:link w:val="21"/>
    <w:semiHidden/>
    <w:qFormat/>
    <w:uiPriority w:val="99"/>
    <w:rPr>
      <w:sz w:val="18"/>
      <w:szCs w:val="18"/>
    </w:rPr>
  </w:style>
  <w:style w:type="character" w:customStyle="1" w:styleId="55">
    <w:name w:val="页脚 Char"/>
    <w:basedOn w:val="37"/>
    <w:link w:val="22"/>
    <w:qFormat/>
    <w:uiPriority w:val="99"/>
    <w:rPr>
      <w:sz w:val="18"/>
      <w:szCs w:val="18"/>
    </w:rPr>
  </w:style>
  <w:style w:type="character" w:customStyle="1" w:styleId="56">
    <w:name w:val="页眉 Char"/>
    <w:basedOn w:val="37"/>
    <w:link w:val="23"/>
    <w:qFormat/>
    <w:uiPriority w:val="99"/>
    <w:rPr>
      <w:sz w:val="18"/>
      <w:szCs w:val="18"/>
    </w:rPr>
  </w:style>
  <w:style w:type="character" w:customStyle="1" w:styleId="57">
    <w:name w:val="脚注文本 Char"/>
    <w:basedOn w:val="37"/>
    <w:semiHidden/>
    <w:qFormat/>
    <w:uiPriority w:val="99"/>
    <w:rPr>
      <w:sz w:val="18"/>
      <w:szCs w:val="18"/>
    </w:rPr>
  </w:style>
  <w:style w:type="paragraph" w:styleId="58">
    <w:name w:val="List Paragraph"/>
    <w:basedOn w:val="1"/>
    <w:qFormat/>
    <w:uiPriority w:val="34"/>
    <w:pPr>
      <w:ind w:firstLine="420"/>
      <w:jc w:val="left"/>
    </w:pPr>
    <w:rPr>
      <w:rFonts w:eastAsia="楷体"/>
    </w:rPr>
  </w:style>
  <w:style w:type="paragraph" w:customStyle="1" w:styleId="59">
    <w:name w:val="Default"/>
    <w:qFormat/>
    <w:uiPriority w:val="0"/>
    <w:pPr>
      <w:widowControl w:val="0"/>
      <w:autoSpaceDE w:val="0"/>
      <w:autoSpaceDN w:val="0"/>
      <w:adjustRightInd w:val="0"/>
    </w:pPr>
    <w:rPr>
      <w:rFonts w:ascii="楷体" w:hAnsi="楷体" w:cs="楷体" w:eastAsiaTheme="minorEastAsia"/>
      <w:color w:val="000000"/>
      <w:sz w:val="24"/>
      <w:szCs w:val="24"/>
      <w:lang w:val="en-US" w:eastAsia="zh-CN" w:bidi="ar-SA"/>
    </w:rPr>
  </w:style>
  <w:style w:type="table" w:customStyle="1" w:styleId="60">
    <w:name w:val="网格型浅色1"/>
    <w:basedOn w:val="3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character" w:customStyle="1" w:styleId="61">
    <w:name w:val="不明显参考1"/>
    <w:basedOn w:val="37"/>
    <w:qFormat/>
    <w:uiPriority w:val="31"/>
    <w:rPr>
      <w:smallCaps/>
      <w:color w:val="595959" w:themeColor="text1" w:themeTint="A6"/>
      <w14:textFill>
        <w14:solidFill>
          <w14:schemeClr w14:val="tx1">
            <w14:lumMod w14:val="65000"/>
            <w14:lumOff w14:val="35000"/>
          </w14:schemeClr>
        </w14:solidFill>
      </w14:textFill>
    </w:rPr>
  </w:style>
  <w:style w:type="paragraph" w:customStyle="1" w:styleId="62">
    <w:name w:val="条标题"/>
    <w:basedOn w:val="5"/>
    <w:link w:val="63"/>
    <w:qFormat/>
    <w:uiPriority w:val="0"/>
    <w:pPr>
      <w:spacing w:before="120" w:after="0" w:line="560" w:lineRule="exact"/>
      <w:jc w:val="left"/>
    </w:pPr>
    <w:rPr>
      <w:rFonts w:ascii="黑体" w:hAnsi="宋体" w:eastAsia="黑体" w:cs="Times New Roman"/>
      <w:b w:val="0"/>
      <w:bCs w:val="0"/>
      <w:caps/>
      <w:sz w:val="30"/>
      <w:szCs w:val="30"/>
    </w:rPr>
  </w:style>
  <w:style w:type="character" w:customStyle="1" w:styleId="63">
    <w:name w:val="条标题 Char1"/>
    <w:link w:val="62"/>
    <w:qFormat/>
    <w:uiPriority w:val="0"/>
    <w:rPr>
      <w:rFonts w:ascii="黑体" w:hAnsi="宋体" w:eastAsia="黑体" w:cs="Times New Roman"/>
      <w:caps/>
      <w:sz w:val="30"/>
      <w:szCs w:val="30"/>
    </w:rPr>
  </w:style>
  <w:style w:type="character" w:customStyle="1" w:styleId="64">
    <w:name w:val="fontstyle01"/>
    <w:basedOn w:val="37"/>
    <w:qFormat/>
    <w:uiPriority w:val="0"/>
    <w:rPr>
      <w:rFonts w:ascii="宋体" w:hAnsi="宋体" w:eastAsia="宋体" w:cs="宋体"/>
      <w:color w:val="000000"/>
      <w:sz w:val="24"/>
      <w:szCs w:val="24"/>
    </w:rPr>
  </w:style>
  <w:style w:type="paragraph" w:customStyle="1" w:styleId="65">
    <w:name w:val="正文文字"/>
    <w:basedOn w:val="1"/>
    <w:link w:val="66"/>
    <w:qFormat/>
    <w:uiPriority w:val="0"/>
    <w:pPr>
      <w:spacing w:line="560" w:lineRule="exact"/>
      <w:ind w:firstLine="600"/>
    </w:pPr>
    <w:rPr>
      <w:rFonts w:ascii="仿宋" w:hAnsi="Calibri" w:eastAsia="仿宋" w:cs="仿宋"/>
      <w:sz w:val="30"/>
      <w:szCs w:val="30"/>
    </w:rPr>
  </w:style>
  <w:style w:type="character" w:customStyle="1" w:styleId="66">
    <w:name w:val="正文文字 Char"/>
    <w:basedOn w:val="37"/>
    <w:link w:val="65"/>
    <w:qFormat/>
    <w:uiPriority w:val="0"/>
    <w:rPr>
      <w:rFonts w:ascii="仿宋" w:hAnsi="Calibri" w:eastAsia="仿宋" w:cs="仿宋"/>
      <w:sz w:val="30"/>
      <w:szCs w:val="30"/>
    </w:rPr>
  </w:style>
  <w:style w:type="paragraph" w:customStyle="1" w:styleId="67">
    <w:name w:val="A正文"/>
    <w:basedOn w:val="1"/>
    <w:link w:val="68"/>
    <w:qFormat/>
    <w:uiPriority w:val="0"/>
    <w:pPr>
      <w:spacing w:line="312" w:lineRule="auto"/>
      <w:ind w:firstLine="480"/>
      <w:jc w:val="left"/>
    </w:pPr>
    <w:rPr>
      <w:rFonts w:ascii="Calibri" w:hAnsi="Calibri" w:eastAsia="宋体" w:cs="Times New Roman"/>
      <w:sz w:val="24"/>
      <w:szCs w:val="24"/>
      <w:lang w:val="zh-CN"/>
    </w:rPr>
  </w:style>
  <w:style w:type="character" w:customStyle="1" w:styleId="68">
    <w:name w:val="A正文 Char"/>
    <w:link w:val="67"/>
    <w:qFormat/>
    <w:uiPriority w:val="0"/>
    <w:rPr>
      <w:rFonts w:ascii="Calibri" w:hAnsi="Calibri" w:eastAsia="宋体" w:cs="Times New Roman"/>
      <w:sz w:val="24"/>
      <w:szCs w:val="24"/>
      <w:lang w:val="zh-CN"/>
    </w:rPr>
  </w:style>
  <w:style w:type="character" w:customStyle="1" w:styleId="69">
    <w:name w:val="脚注文本 Char1"/>
    <w:link w:val="26"/>
    <w:qFormat/>
    <w:locked/>
    <w:uiPriority w:val="99"/>
    <w:rPr>
      <w:rFonts w:ascii="宋体" w:hAnsi="Times New Roman" w:eastAsia="宋体" w:cs="Times New Roman"/>
      <w:color w:val="000000"/>
      <w:kern w:val="0"/>
      <w:sz w:val="18"/>
      <w:szCs w:val="18"/>
      <w:lang w:val="en-GB"/>
    </w:rPr>
  </w:style>
  <w:style w:type="paragraph" w:customStyle="1" w:styleId="70">
    <w:name w:val="正文1"/>
    <w:basedOn w:val="1"/>
    <w:qFormat/>
    <w:uiPriority w:val="0"/>
    <w:pPr>
      <w:adjustRightInd w:val="0"/>
      <w:snapToGrid w:val="0"/>
      <w:ind w:firstLine="540"/>
    </w:pPr>
    <w:rPr>
      <w:rFonts w:ascii="Times New Roman" w:hAnsi="Times New Roman" w:cs="Times New Roman"/>
      <w:sz w:val="28"/>
      <w:szCs w:val="20"/>
    </w:rPr>
  </w:style>
  <w:style w:type="paragraph" w:customStyle="1" w:styleId="71">
    <w:name w:val="样式 样式 (中文) 仿宋_GB2312 三号 行距: 最小值 28 磅 首行缩进:  2 字符 + 首行缩进:  2 字符"/>
    <w:basedOn w:val="1"/>
    <w:qFormat/>
    <w:uiPriority w:val="0"/>
    <w:pPr>
      <w:spacing w:line="560" w:lineRule="atLeast"/>
      <w:ind w:firstLine="600"/>
    </w:pPr>
    <w:rPr>
      <w:rFonts w:ascii="Times New Roman" w:hAnsi="Times New Roman" w:cs="宋体"/>
      <w:kern w:val="0"/>
      <w:sz w:val="28"/>
      <w:szCs w:val="20"/>
    </w:rPr>
  </w:style>
  <w:style w:type="character" w:customStyle="1" w:styleId="72">
    <w:name w:val="标题-正文 Char"/>
    <w:link w:val="73"/>
    <w:qFormat/>
    <w:uiPriority w:val="0"/>
    <w:rPr>
      <w:sz w:val="24"/>
      <w:szCs w:val="24"/>
    </w:rPr>
  </w:style>
  <w:style w:type="paragraph" w:customStyle="1" w:styleId="73">
    <w:name w:val="标题-正文"/>
    <w:basedOn w:val="1"/>
    <w:link w:val="72"/>
    <w:qFormat/>
    <w:uiPriority w:val="0"/>
    <w:pPr>
      <w:adjustRightInd w:val="0"/>
      <w:snapToGrid w:val="0"/>
      <w:spacing w:line="500" w:lineRule="exact"/>
    </w:pPr>
    <w:rPr>
      <w:sz w:val="24"/>
      <w:szCs w:val="24"/>
    </w:rPr>
  </w:style>
  <w:style w:type="table" w:customStyle="1" w:styleId="74">
    <w:name w:val="网格型浅色2"/>
    <w:basedOn w:val="3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7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6">
    <w:name w:val="font5"/>
    <w:basedOn w:val="1"/>
    <w:qFormat/>
    <w:uiPriority w:val="0"/>
    <w:pPr>
      <w:widowControl/>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77">
    <w:name w:val="font6"/>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8">
    <w:name w:val="font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79">
    <w:name w:val="font8"/>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font9"/>
    <w:basedOn w:val="1"/>
    <w:qFormat/>
    <w:uiPriority w:val="0"/>
    <w:pPr>
      <w:widowControl/>
      <w:spacing w:before="100" w:beforeAutospacing="1" w:after="100" w:afterAutospacing="1"/>
      <w:jc w:val="left"/>
    </w:pPr>
    <w:rPr>
      <w:rFonts w:ascii="宋体" w:hAnsi="宋体" w:eastAsia="宋体" w:cs="宋体"/>
      <w:b/>
      <w:bCs/>
      <w:kern w:val="0"/>
      <w:sz w:val="22"/>
    </w:rPr>
  </w:style>
  <w:style w:type="paragraph" w:customStyle="1" w:styleId="81">
    <w:name w:val="xl204"/>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82">
    <w:name w:val="xl205"/>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83">
    <w:name w:val="xl206"/>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84">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85">
    <w:name w:val="xl2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86">
    <w:name w:val="xl2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88">
    <w:name w:val="xl2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89">
    <w:name w:val="xl2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90">
    <w:name w:val="xl2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91">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92">
    <w:name w:val="xl215"/>
    <w:basedOn w:val="1"/>
    <w:qFormat/>
    <w:uiPriority w:val="0"/>
    <w:pPr>
      <w:widowControl/>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3">
    <w:name w:val="xl2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94">
    <w:name w:val="xl2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5">
    <w:name w:val="xl2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96">
    <w:name w:val="xl2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97">
    <w:name w:val="xl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98">
    <w:name w:val="xl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99">
    <w:name w:val="xl222"/>
    <w:basedOn w:val="1"/>
    <w:qFormat/>
    <w:uiPriority w:val="0"/>
    <w:pPr>
      <w:widowControl/>
      <w:spacing w:before="100" w:beforeAutospacing="1" w:after="100" w:afterAutospacing="1"/>
      <w:jc w:val="center"/>
    </w:pPr>
    <w:rPr>
      <w:rFonts w:ascii="Times New Roman" w:hAnsi="Times New Roman" w:eastAsia="宋体" w:cs="Times New Roman"/>
      <w:kern w:val="0"/>
      <w:sz w:val="24"/>
      <w:szCs w:val="24"/>
    </w:rPr>
  </w:style>
  <w:style w:type="paragraph" w:customStyle="1" w:styleId="100">
    <w:name w:val="xl223"/>
    <w:basedOn w:val="1"/>
    <w:qFormat/>
    <w:uiPriority w:val="0"/>
    <w:pPr>
      <w:widowControl/>
      <w:spacing w:before="100" w:beforeAutospacing="1" w:after="100" w:afterAutospacing="1"/>
      <w:jc w:val="left"/>
    </w:pPr>
    <w:rPr>
      <w:rFonts w:ascii="Times New Roman" w:hAnsi="Times New Roman" w:eastAsia="宋体" w:cs="Times New Roman"/>
      <w:b/>
      <w:bCs/>
      <w:kern w:val="0"/>
      <w:sz w:val="20"/>
      <w:szCs w:val="20"/>
    </w:rPr>
  </w:style>
  <w:style w:type="paragraph" w:customStyle="1" w:styleId="101">
    <w:name w:val="xl224"/>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02">
    <w:name w:val="xl2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3">
    <w:name w:val="xl2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04">
    <w:name w:val="xl2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5">
    <w:name w:val="xl2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06">
    <w:name w:val="xl2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7">
    <w:name w:val="xl2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08">
    <w:name w:val="xl2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09">
    <w:name w:val="xl2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10">
    <w:name w:val="xl23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11">
    <w:name w:val="xl2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2">
    <w:name w:val="xl2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13">
    <w:name w:val="xl2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14">
    <w:name w:val="xl2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15">
    <w:name w:val="xl23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16">
    <w:name w:val="xl23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17">
    <w:name w:val="xl24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18">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19">
    <w:name w:val="xl2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0"/>
      <w:szCs w:val="20"/>
    </w:rPr>
  </w:style>
  <w:style w:type="paragraph" w:customStyle="1" w:styleId="120">
    <w:name w:val="xl2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21">
    <w:name w:val="xl2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4"/>
      <w:szCs w:val="24"/>
    </w:rPr>
  </w:style>
  <w:style w:type="paragraph" w:customStyle="1" w:styleId="122">
    <w:name w:val="xl2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4"/>
      <w:szCs w:val="24"/>
    </w:rPr>
  </w:style>
  <w:style w:type="paragraph" w:customStyle="1" w:styleId="123">
    <w:name w:val="xl2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24"/>
      <w:szCs w:val="24"/>
    </w:rPr>
  </w:style>
  <w:style w:type="paragraph" w:customStyle="1" w:styleId="124">
    <w:name w:val="font10"/>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25">
    <w:name w:val="font11"/>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26">
    <w:name w:val="font12"/>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27">
    <w:name w:val="xl2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28">
    <w:name w:val="xl2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29">
    <w:name w:val="xl2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30">
    <w:name w:val="xl250"/>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31">
    <w:name w:val="xl2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32">
    <w:name w:val="xl25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33">
    <w:name w:val="xl2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34">
    <w:name w:val="xl25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35">
    <w:name w:val="xl25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36">
    <w:name w:val="xl2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0"/>
    </w:rPr>
  </w:style>
  <w:style w:type="paragraph" w:customStyle="1" w:styleId="137">
    <w:name w:val="xl2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8">
    <w:name w:val="xl2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139">
    <w:name w:val="xl259"/>
    <w:basedOn w:val="1"/>
    <w:qFormat/>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40">
    <w:name w:val="xl2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1">
    <w:name w:val="xl26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2">
    <w:name w:val="xl26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263"/>
    <w:basedOn w:val="1"/>
    <w:qFormat/>
    <w:uiPriority w:val="0"/>
    <w:pPr>
      <w:widowControl/>
      <w:pBdr>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44">
    <w:name w:val="xl26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45">
    <w:name w:val="xl265"/>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6">
    <w:name w:val="xl266"/>
    <w:basedOn w:val="1"/>
    <w:qFormat/>
    <w:uiPriority w:val="0"/>
    <w:pPr>
      <w:widowControl/>
      <w:pBdr>
        <w:lef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7">
    <w:name w:val="xl267"/>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8">
    <w:name w:val="xl2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49">
    <w:name w:val="xl2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50">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宋体"/>
      <w:b/>
      <w:bCs/>
      <w:color w:val="000000"/>
      <w:kern w:val="0"/>
      <w:sz w:val="18"/>
      <w:szCs w:val="18"/>
    </w:rPr>
  </w:style>
  <w:style w:type="paragraph" w:customStyle="1" w:styleId="151">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宋体"/>
      <w:color w:val="000000"/>
      <w:kern w:val="0"/>
      <w:sz w:val="18"/>
      <w:szCs w:val="18"/>
    </w:rPr>
  </w:style>
  <w:style w:type="paragraph" w:customStyle="1" w:styleId="15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仿宋" w:hAnsi="仿宋" w:eastAsia="仿宋" w:cs="宋体"/>
      <w:color w:val="000000"/>
      <w:kern w:val="0"/>
      <w:sz w:val="18"/>
      <w:szCs w:val="18"/>
    </w:rPr>
  </w:style>
  <w:style w:type="paragraph" w:customStyle="1" w:styleId="153">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宋体"/>
      <w:color w:val="000000"/>
      <w:kern w:val="0"/>
      <w:sz w:val="18"/>
      <w:szCs w:val="18"/>
    </w:rPr>
  </w:style>
  <w:style w:type="paragraph" w:customStyle="1" w:styleId="154">
    <w:name w:val="xl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18"/>
      <w:szCs w:val="18"/>
    </w:rPr>
  </w:style>
  <w:style w:type="paragraph" w:customStyle="1" w:styleId="155">
    <w:name w:val="xl7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18"/>
      <w:szCs w:val="18"/>
    </w:rPr>
  </w:style>
  <w:style w:type="paragraph" w:customStyle="1" w:styleId="156">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仿宋" w:hAnsi="仿宋" w:eastAsia="仿宋" w:cs="宋体"/>
      <w:kern w:val="0"/>
      <w:sz w:val="18"/>
      <w:szCs w:val="18"/>
    </w:rPr>
  </w:style>
  <w:style w:type="paragraph" w:customStyle="1" w:styleId="157">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仿宋" w:hAnsi="仿宋" w:eastAsia="仿宋" w:cs="宋体"/>
      <w:color w:val="000000"/>
      <w:kern w:val="0"/>
      <w:sz w:val="18"/>
      <w:szCs w:val="18"/>
    </w:rPr>
  </w:style>
  <w:style w:type="paragraph" w:customStyle="1" w:styleId="158">
    <w:name w:val="xl7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仿宋" w:hAnsi="仿宋" w:eastAsia="仿宋" w:cs="宋体"/>
      <w:color w:val="000000"/>
      <w:kern w:val="0"/>
      <w:sz w:val="18"/>
      <w:szCs w:val="18"/>
    </w:rPr>
  </w:style>
  <w:style w:type="character" w:customStyle="1" w:styleId="159">
    <w:name w:val="未处理的提及1"/>
    <w:basedOn w:val="37"/>
    <w:semiHidden/>
    <w:unhideWhenUsed/>
    <w:qFormat/>
    <w:uiPriority w:val="99"/>
    <w:rPr>
      <w:color w:val="605E5C"/>
      <w:shd w:val="clear" w:color="auto" w:fill="E1DFDD"/>
    </w:rPr>
  </w:style>
  <w:style w:type="character" w:customStyle="1" w:styleId="160">
    <w:name w:val="font21"/>
    <w:basedOn w:val="37"/>
    <w:qFormat/>
    <w:uiPriority w:val="0"/>
    <w:rPr>
      <w:rFonts w:hint="eastAsia" w:ascii="宋体" w:hAnsi="宋体" w:eastAsia="宋体" w:cs="宋体"/>
      <w:color w:val="000000"/>
      <w:sz w:val="18"/>
      <w:szCs w:val="18"/>
      <w:u w:val="none"/>
    </w:rPr>
  </w:style>
  <w:style w:type="paragraph" w:customStyle="1" w:styleId="161">
    <w:name w:val="_Style 1"/>
    <w:basedOn w:val="1"/>
    <w:qFormat/>
    <w:uiPriority w:val="99"/>
    <w:pPr>
      <w:spacing w:line="360" w:lineRule="auto"/>
      <w:ind w:firstLine="420"/>
    </w:pPr>
    <w:rPr>
      <w:rFonts w:ascii="Calibri" w:hAnsi="Calibri" w:eastAsia="宋体" w:cs="Times New Roman"/>
      <w:snapToGrid w:val="0"/>
      <w:szCs w:val="24"/>
    </w:rPr>
  </w:style>
  <w:style w:type="paragraph" w:customStyle="1" w:styleId="162">
    <w:name w:val="0/专栏文字"/>
    <w:basedOn w:val="1"/>
    <w:qFormat/>
    <w:uiPriority w:val="0"/>
    <w:rPr>
      <w:rFonts w:ascii="宋体" w:hAnsi="宋体" w:eastAsia="宋体" w:cs="宋体"/>
      <w:kern w:val="14"/>
      <w:sz w:val="24"/>
      <w:szCs w:val="24"/>
    </w:rPr>
  </w:style>
  <w:style w:type="paragraph" w:customStyle="1" w:styleId="163">
    <w:name w:val="0条 福州文本"/>
    <w:basedOn w:val="1"/>
    <w:qFormat/>
    <w:uiPriority w:val="0"/>
    <w:pPr>
      <w:numPr>
        <w:ilvl w:val="0"/>
        <w:numId w:val="1"/>
      </w:numPr>
      <w:spacing w:beforeLines="100" w:after="100" w:afterAutospacing="1"/>
      <w:outlineLvl w:val="2"/>
    </w:pPr>
    <w:rPr>
      <w:rFonts w:ascii="黑体" w:hAnsi="黑体" w:eastAsia="黑体" w:cs="宋体"/>
      <w:b/>
      <w:sz w:val="30"/>
      <w:szCs w:val="30"/>
    </w:rPr>
  </w:style>
  <w:style w:type="character" w:customStyle="1" w:styleId="164">
    <w:name w:val="条题[858D7CFB-ED40-4347-BF05-701D383B685F]2"/>
    <w:link w:val="165"/>
    <w:qFormat/>
    <w:uiPriority w:val="0"/>
    <w:rPr>
      <w:sz w:val="24"/>
      <w:szCs w:val="24"/>
    </w:rPr>
  </w:style>
  <w:style w:type="paragraph" w:customStyle="1" w:styleId="165">
    <w:name w:val="条题"/>
    <w:basedOn w:val="1"/>
    <w:link w:val="164"/>
    <w:qFormat/>
    <w:uiPriority w:val="0"/>
    <w:pPr>
      <w:tabs>
        <w:tab w:val="left" w:pos="420"/>
      </w:tabs>
      <w:spacing w:line="420" w:lineRule="exact"/>
    </w:pPr>
    <w:rPr>
      <w:sz w:val="24"/>
      <w:szCs w:val="24"/>
    </w:rPr>
  </w:style>
  <w:style w:type="table" w:customStyle="1" w:styleId="166">
    <w:name w:val="网格型浅色3"/>
    <w:basedOn w:val="35"/>
    <w:qFormat/>
    <w:uiPriority w:val="40"/>
    <w:rPr>
      <w:rFonts w:ascii="Times New Roman" w:hAnsi="Times New Roman"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table" w:customStyle="1" w:styleId="167">
    <w:name w:val="网格型浅色4"/>
    <w:basedOn w:val="3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168">
    <w:name w:val="nj正文"/>
    <w:basedOn w:val="1"/>
    <w:link w:val="169"/>
    <w:qFormat/>
    <w:uiPriority w:val="0"/>
    <w:pPr>
      <w:widowControl/>
      <w:spacing w:line="360" w:lineRule="auto"/>
      <w:ind w:firstLine="560"/>
      <w:jc w:val="left"/>
    </w:pPr>
    <w:rPr>
      <w:rFonts w:ascii="宋体"/>
      <w:color w:val="000000" w:themeColor="text1"/>
      <w:kern w:val="0"/>
      <w14:textFill>
        <w14:solidFill>
          <w14:schemeClr w14:val="tx1"/>
        </w14:solidFill>
      </w14:textFill>
    </w:rPr>
  </w:style>
  <w:style w:type="character" w:customStyle="1" w:styleId="169">
    <w:name w:val="nj正文 字符"/>
    <w:basedOn w:val="37"/>
    <w:link w:val="168"/>
    <w:qFormat/>
    <w:uiPriority w:val="0"/>
    <w:rPr>
      <w:rFonts w:ascii="宋体" w:eastAsia="仿宋_GB2312"/>
      <w:color w:val="000000" w:themeColor="text1"/>
      <w:kern w:val="0"/>
      <w:sz w:val="32"/>
      <w14:textFill>
        <w14:solidFill>
          <w14:schemeClr w14:val="tx1"/>
        </w14:solidFill>
      </w14:textFill>
    </w:rPr>
  </w:style>
  <w:style w:type="character" w:customStyle="1" w:styleId="170">
    <w:name w:val="正文文本缩进 Char"/>
    <w:basedOn w:val="37"/>
    <w:link w:val="15"/>
    <w:qFormat/>
    <w:uiPriority w:val="0"/>
    <w:rPr>
      <w:rFonts w:ascii="仿宋_GB2312" w:hAnsi="Times New Roman" w:eastAsia="仿宋_GB2312"/>
      <w:bCs/>
      <w:sz w:val="32"/>
      <w:szCs w:val="32"/>
    </w:rPr>
  </w:style>
  <w:style w:type="character" w:customStyle="1" w:styleId="171">
    <w:name w:val="标题 Char"/>
    <w:basedOn w:val="37"/>
    <w:link w:val="31"/>
    <w:qFormat/>
    <w:uiPriority w:val="10"/>
    <w:rPr>
      <w:rFonts w:ascii="宋体" w:hAnsi="宋体" w:cs="Times New Roman" w:eastAsiaTheme="minorHAnsi"/>
      <w:b/>
      <w:caps/>
      <w:sz w:val="42"/>
      <w:szCs w:val="42"/>
      <w:shd w:val="clear" w:color="auto" w:fill="FFFFFF" w:themeFill="background1"/>
    </w:rPr>
  </w:style>
  <w:style w:type="character" w:customStyle="1" w:styleId="172">
    <w:name w:val="正文首行缩进 Char"/>
    <w:basedOn w:val="52"/>
    <w:link w:val="33"/>
    <w:semiHidden/>
    <w:qFormat/>
    <w:uiPriority w:val="99"/>
    <w:rPr>
      <w:rFonts w:ascii="等线" w:hAnsi="等线" w:eastAsia="宋体" w:cs="Times New Roman"/>
      <w:sz w:val="28"/>
    </w:rPr>
  </w:style>
  <w:style w:type="character" w:customStyle="1" w:styleId="173">
    <w:name w:val="正文首行缩进 2 Char"/>
    <w:basedOn w:val="170"/>
    <w:link w:val="34"/>
    <w:qFormat/>
    <w:uiPriority w:val="99"/>
    <w:rPr>
      <w:rFonts w:ascii="仿宋_GB2312" w:hAnsi="仿宋_GB2312" w:eastAsia="宋体" w:cs="Times New Roman"/>
      <w:sz w:val="32"/>
      <w:szCs w:val="24"/>
    </w:rPr>
  </w:style>
  <w:style w:type="paragraph" w:customStyle="1" w:styleId="174">
    <w:name w:val="专栏文字"/>
    <w:basedOn w:val="1"/>
    <w:qFormat/>
    <w:uiPriority w:val="0"/>
    <w:pPr>
      <w:snapToGrid w:val="0"/>
      <w:jc w:val="center"/>
    </w:pPr>
    <w:rPr>
      <w:rFonts w:ascii="楷体" w:hAnsi="楷体" w:eastAsia="楷体" w:cs="Times New Roman"/>
      <w:sz w:val="22"/>
      <w:szCs w:val="28"/>
    </w:rPr>
  </w:style>
  <w:style w:type="character" w:customStyle="1" w:styleId="175">
    <w:name w:val="专栏"/>
    <w:basedOn w:val="37"/>
    <w:qFormat/>
    <w:uiPriority w:val="1"/>
    <w:rPr>
      <w:b/>
      <w:sz w:val="24"/>
      <w:lang w:val="zh-CN"/>
    </w:rPr>
  </w:style>
  <w:style w:type="character" w:customStyle="1" w:styleId="176">
    <w:name w:val="正文文本 Char1"/>
    <w:basedOn w:val="37"/>
    <w:semiHidden/>
    <w:qFormat/>
    <w:uiPriority w:val="99"/>
  </w:style>
  <w:style w:type="character" w:customStyle="1" w:styleId="177">
    <w:name w:val="正文首行缩进 Char1"/>
    <w:basedOn w:val="176"/>
    <w:semiHidden/>
    <w:qFormat/>
    <w:uiPriority w:val="99"/>
  </w:style>
  <w:style w:type="paragraph" w:customStyle="1" w:styleId="178">
    <w:name w:val="BodyText"/>
    <w:basedOn w:val="1"/>
    <w:qFormat/>
    <w:uiPriority w:val="0"/>
    <w:pPr>
      <w:spacing w:after="120" w:line="360" w:lineRule="auto"/>
    </w:pPr>
    <w:rPr>
      <w:rFonts w:ascii="Times New Roman" w:hAnsi="Times New Roman" w:eastAsia="宋体" w:cs="Times New Roman"/>
      <w:sz w:val="28"/>
    </w:rPr>
  </w:style>
  <w:style w:type="character" w:customStyle="1" w:styleId="179">
    <w:name w:val="标题 2 字符"/>
    <w:basedOn w:val="37"/>
    <w:qFormat/>
    <w:uiPriority w:val="9"/>
    <w:rPr>
      <w:rFonts w:eastAsia="黑体" w:asciiTheme="majorHAnsi" w:hAnsiTheme="majorHAnsi" w:cstheme="majorBidi"/>
      <w:b/>
      <w:bCs/>
      <w:kern w:val="2"/>
      <w:sz w:val="32"/>
      <w:szCs w:val="32"/>
    </w:rPr>
  </w:style>
  <w:style w:type="character" w:customStyle="1" w:styleId="180">
    <w:name w:val="标题 3 字符"/>
    <w:basedOn w:val="37"/>
    <w:qFormat/>
    <w:uiPriority w:val="9"/>
    <w:rPr>
      <w:rFonts w:eastAsia="宋体"/>
      <w:b/>
      <w:bCs/>
      <w:kern w:val="2"/>
      <w:sz w:val="30"/>
      <w:szCs w:val="32"/>
    </w:rPr>
  </w:style>
  <w:style w:type="paragraph" w:customStyle="1" w:styleId="181">
    <w:name w:val="表2222"/>
    <w:next w:val="1"/>
    <w:qFormat/>
    <w:uiPriority w:val="0"/>
    <w:pPr>
      <w:numPr>
        <w:ilvl w:val="0"/>
        <w:numId w:val="2"/>
      </w:numPr>
      <w:jc w:val="center"/>
    </w:pPr>
    <w:rPr>
      <w:rFonts w:ascii="仿宋" w:hAnsi="仿宋" w:eastAsia="宋体" w:cs="Times New Roman"/>
      <w:color w:val="7030A0"/>
      <w:kern w:val="2"/>
      <w:sz w:val="21"/>
      <w:szCs w:val="24"/>
      <w:lang w:val="en-US" w:eastAsia="zh-CN" w:bidi="ar-SA"/>
    </w:rPr>
  </w:style>
  <w:style w:type="character" w:customStyle="1" w:styleId="182">
    <w:name w:val="表格ss 字符"/>
    <w:basedOn w:val="37"/>
    <w:link w:val="183"/>
    <w:qFormat/>
    <w:locked/>
    <w:uiPriority w:val="0"/>
    <w:rPr>
      <w:rFonts w:ascii="宋体" w:hAnsi="宋体" w:eastAsia="宋体"/>
      <w:szCs w:val="21"/>
    </w:rPr>
  </w:style>
  <w:style w:type="paragraph" w:customStyle="1" w:styleId="183">
    <w:name w:val="表格ss"/>
    <w:basedOn w:val="1"/>
    <w:link w:val="182"/>
    <w:qFormat/>
    <w:uiPriority w:val="0"/>
    <w:pPr>
      <w:adjustRightInd w:val="0"/>
      <w:snapToGrid w:val="0"/>
      <w:jc w:val="center"/>
    </w:pPr>
    <w:rPr>
      <w:rFonts w:ascii="宋体" w:hAnsi="宋体" w:eastAsia="宋体"/>
      <w:szCs w:val="21"/>
    </w:rPr>
  </w:style>
  <w:style w:type="character" w:customStyle="1" w:styleId="184">
    <w:name w:val="图名舒 字符"/>
    <w:link w:val="185"/>
    <w:qFormat/>
    <w:uiPriority w:val="0"/>
    <w:rPr>
      <w:rFonts w:ascii="等线" w:hAnsi="等线"/>
    </w:rPr>
  </w:style>
  <w:style w:type="paragraph" w:customStyle="1" w:styleId="185">
    <w:name w:val="图名舒"/>
    <w:basedOn w:val="1"/>
    <w:link w:val="184"/>
    <w:qFormat/>
    <w:uiPriority w:val="0"/>
    <w:pPr>
      <w:numPr>
        <w:ilvl w:val="0"/>
        <w:numId w:val="3"/>
      </w:numPr>
      <w:spacing w:line="360" w:lineRule="auto"/>
      <w:ind w:firstLine="0"/>
      <w:jc w:val="center"/>
    </w:pPr>
    <w:rPr>
      <w:rFonts w:ascii="等线" w:hAnsi="等线"/>
    </w:rPr>
  </w:style>
  <w:style w:type="paragraph" w:customStyle="1" w:styleId="186">
    <w:name w:val="表格"/>
    <w:basedOn w:val="1"/>
    <w:qFormat/>
    <w:uiPriority w:val="0"/>
    <w:pPr>
      <w:spacing w:line="324" w:lineRule="auto"/>
      <w:jc w:val="center"/>
    </w:pPr>
    <w:rPr>
      <w:rFonts w:ascii="Times New Roman" w:hAnsi="Times New Roman" w:eastAsia="宋体"/>
    </w:rPr>
  </w:style>
  <w:style w:type="character" w:customStyle="1" w:styleId="187">
    <w:name w:val="15"/>
    <w:basedOn w:val="37"/>
    <w:qFormat/>
    <w:uiPriority w:val="0"/>
    <w:rPr>
      <w:rFonts w:hint="default" w:ascii="MicrosoftYaHei" w:hAnsi="MicrosoftYaHei" w:eastAsia="MicrosoftYaHei" w:cs="MicrosoftYaHei"/>
      <w:color w:val="000000"/>
      <w:sz w:val="36"/>
      <w:szCs w:val="36"/>
    </w:rPr>
  </w:style>
  <w:style w:type="character" w:customStyle="1" w:styleId="188">
    <w:name w:val="10"/>
    <w:basedOn w:val="37"/>
    <w:qFormat/>
    <w:uiPriority w:val="0"/>
    <w:rPr>
      <w:rFonts w:hint="default" w:ascii="等线" w:hAnsi="等线" w:eastAsia="等线" w:cs="等线"/>
    </w:rPr>
  </w:style>
  <w:style w:type="paragraph" w:customStyle="1" w:styleId="189">
    <w:name w:val="附录表标题"/>
    <w:next w:val="190"/>
    <w:qFormat/>
    <w:uiPriority w:val="0"/>
    <w:pPr>
      <w:numPr>
        <w:ilvl w:val="0"/>
        <w:numId w:val="4"/>
      </w:numPr>
      <w:jc w:val="center"/>
      <w:textAlignment w:val="baseline"/>
    </w:pPr>
    <w:rPr>
      <w:rFonts w:ascii="黑体" w:hAnsi="Times New Roman" w:eastAsia="黑体" w:cs="Times New Roman"/>
      <w:kern w:val="21"/>
      <w:sz w:val="21"/>
      <w:lang w:val="en-US" w:eastAsia="zh-CN" w:bidi="ar-SA"/>
    </w:rPr>
  </w:style>
  <w:style w:type="paragraph" w:customStyle="1" w:styleId="19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91">
    <w:name w:val="专栏1内容"/>
    <w:basedOn w:val="1"/>
    <w:next w:val="1"/>
    <w:qFormat/>
    <w:uiPriority w:val="0"/>
    <w:pPr>
      <w:spacing w:line="500" w:lineRule="exact"/>
      <w:ind w:firstLine="880"/>
    </w:pPr>
    <w:rPr>
      <w:rFonts w:ascii="Times New Roman" w:hAnsi="Times New Roman" w:cs="Times New Roman"/>
      <w:sz w:val="28"/>
      <w:szCs w:val="24"/>
    </w:rPr>
  </w:style>
  <w:style w:type="paragraph" w:customStyle="1" w:styleId="192">
    <w:name w:val="WPSOffice手动目录 1"/>
    <w:qFormat/>
    <w:uiPriority w:val="0"/>
    <w:rPr>
      <w:rFonts w:ascii="Times New Roman" w:hAnsi="Times New Roman" w:eastAsia="宋体" w:cs="Times New Roman"/>
      <w:lang w:val="en-US" w:eastAsia="zh-CN" w:bidi="ar-SA"/>
    </w:rPr>
  </w:style>
  <w:style w:type="paragraph" w:customStyle="1" w:styleId="19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94">
    <w:name w:val="样式 样式 样式 样式 样式 首行缩进:  2 字符1 + 首行缩进:  2 字符 + 首行缩进:  2 字符 + 首行缩进: ..."/>
    <w:basedOn w:val="1"/>
    <w:qFormat/>
    <w:uiPriority w:val="0"/>
    <w:pPr>
      <w:spacing w:line="420" w:lineRule="exact"/>
    </w:pPr>
    <w:rPr>
      <w:rFonts w:ascii="Times New Roman" w:hAnsi="Times New Roman" w:eastAsia="宋体" w:cs="宋体"/>
      <w:sz w:val="28"/>
      <w:szCs w:val="20"/>
    </w:rPr>
  </w:style>
  <w:style w:type="paragraph" w:customStyle="1" w:styleId="195">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196">
    <w:name w:val="标题 1 字符"/>
    <w:basedOn w:val="37"/>
    <w:qFormat/>
    <w:uiPriority w:val="0"/>
    <w:rPr>
      <w:b/>
      <w:bCs/>
      <w:kern w:val="44"/>
      <w:sz w:val="44"/>
      <w:szCs w:val="44"/>
    </w:rPr>
  </w:style>
  <w:style w:type="paragraph" w:customStyle="1" w:styleId="197">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198">
    <w:name w:val="xl25"/>
    <w:basedOn w:val="1"/>
    <w:qFormat/>
    <w:uiPriority w:val="0"/>
    <w:pPr>
      <w:widowControl/>
      <w:pBdr>
        <w:bottom w:val="single" w:color="auto" w:sz="4" w:space="0"/>
        <w:right w:val="single" w:color="auto" w:sz="4" w:space="0"/>
      </w:pBdr>
      <w:spacing w:before="100" w:beforeAutospacing="1" w:after="100" w:afterAutospacing="1"/>
      <w:jc w:val="center"/>
      <w:textAlignment w:val="top"/>
    </w:pPr>
    <w:rPr>
      <w:kern w:val="0"/>
      <w:szCs w:val="21"/>
    </w:rPr>
  </w:style>
  <w:style w:type="character" w:customStyle="1" w:styleId="199">
    <w:name w:val="批注主题 Char"/>
    <w:basedOn w:val="50"/>
    <w:link w:val="32"/>
    <w:semiHidden/>
    <w:qFormat/>
    <w:uiPriority w:val="99"/>
    <w:rPr>
      <w:b/>
      <w:bCs/>
    </w:rPr>
  </w:style>
  <w:style w:type="table" w:customStyle="1" w:styleId="200">
    <w:name w:val="网格型浅色31"/>
    <w:basedOn w:val="35"/>
    <w:qFormat/>
    <w:uiPriority w:val="40"/>
    <w:rPr>
      <w:rFonts w:ascii="Times New Roman" w:hAnsi="Times New Roman"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
  </w:style>
  <w:style w:type="paragraph" w:customStyle="1" w:styleId="201">
    <w:name w:val="专栏字体"/>
    <w:basedOn w:val="1"/>
    <w:qFormat/>
    <w:uiPriority w:val="0"/>
    <w:rPr>
      <w:rFonts w:ascii="Times New Roman" w:hAnsi="Times New Roman" w:eastAsia="宋体" w:cs="Times New Roman"/>
      <w:sz w:val="24"/>
    </w:rPr>
  </w:style>
  <w:style w:type="paragraph" w:customStyle="1" w:styleId="20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03">
    <w:name w:val="Char1 Char Char Char"/>
    <w:basedOn w:val="1"/>
    <w:qFormat/>
    <w:uiPriority w:val="0"/>
    <w:rPr>
      <w:rFonts w:ascii="Tahoma" w:hAnsi="Tahoma" w:eastAsia="宋体" w:cs="Times New Roman"/>
      <w:sz w:val="24"/>
      <w:szCs w:val="20"/>
    </w:rPr>
  </w:style>
  <w:style w:type="character" w:customStyle="1" w:styleId="204">
    <w:name w:val="bjh-p"/>
    <w:basedOn w:val="37"/>
    <w:qFormat/>
    <w:uiPriority w:val="0"/>
  </w:style>
  <w:style w:type="paragraph" w:customStyle="1" w:styleId="205">
    <w:name w:val="修订1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06">
    <w:name w:val="纯文本 Char"/>
    <w:basedOn w:val="37"/>
    <w:semiHidden/>
    <w:qFormat/>
    <w:uiPriority w:val="99"/>
    <w:rPr>
      <w:rFonts w:ascii="宋体" w:hAnsi="Courier New" w:eastAsia="宋体" w:cs="Courier New"/>
      <w:szCs w:val="21"/>
    </w:rPr>
  </w:style>
  <w:style w:type="character" w:customStyle="1" w:styleId="207">
    <w:name w:val="纯文本 Char1"/>
    <w:link w:val="18"/>
    <w:qFormat/>
    <w:uiPriority w:val="0"/>
    <w:rPr>
      <w:rFonts w:ascii="宋体" w:hAnsi="Courier New" w:eastAsia="宋体" w:cs="Times New Roman"/>
      <w:szCs w:val="20"/>
    </w:rPr>
  </w:style>
  <w:style w:type="paragraph" w:customStyle="1" w:styleId="208">
    <w:name w:val="a标准 Char"/>
    <w:basedOn w:val="1"/>
    <w:qFormat/>
    <w:uiPriority w:val="0"/>
    <w:pPr>
      <w:spacing w:line="360" w:lineRule="auto"/>
    </w:pPr>
    <w:rPr>
      <w:rFonts w:ascii="Times New Roman" w:hAnsi="Times New Roman" w:eastAsia="宋体" w:cs="Times New Roman"/>
      <w:sz w:val="24"/>
      <w:szCs w:val="40"/>
    </w:rPr>
  </w:style>
  <w:style w:type="paragraph" w:customStyle="1" w:styleId="209">
    <w:name w:val="样式 正文缩进111正文（首行缩进两字） Char Char Char Char Char Char正文（首行缩进两字） ..."/>
    <w:basedOn w:val="10"/>
    <w:link w:val="210"/>
    <w:qFormat/>
    <w:uiPriority w:val="0"/>
    <w:pPr>
      <w:spacing w:before="156" w:after="156"/>
      <w:ind w:right="3746" w:rightChars="1784" w:firstLine="480"/>
    </w:pPr>
    <w:rPr>
      <w:rFonts w:ascii="宋体" w:hAnsi="宋体" w:cs="宋体"/>
      <w:sz w:val="24"/>
      <w:szCs w:val="20"/>
    </w:rPr>
  </w:style>
  <w:style w:type="character" w:customStyle="1" w:styleId="210">
    <w:name w:val="样式 正文缩进111正文（首行缩进两字） Char Char Char Char Char Char正文（首行缩进两字） ... Char"/>
    <w:link w:val="209"/>
    <w:qFormat/>
    <w:uiPriority w:val="0"/>
    <w:rPr>
      <w:rFonts w:ascii="宋体" w:hAnsi="宋体" w:eastAsia="宋体" w:cs="宋体"/>
      <w:sz w:val="24"/>
      <w:szCs w:val="20"/>
    </w:rPr>
  </w:style>
  <w:style w:type="paragraph" w:customStyle="1" w:styleId="211">
    <w:name w:val="专栏标题"/>
    <w:basedOn w:val="1"/>
    <w:link w:val="212"/>
    <w:qFormat/>
    <w:uiPriority w:val="0"/>
    <w:pPr>
      <w:tabs>
        <w:tab w:val="left" w:pos="360"/>
      </w:tabs>
      <w:spacing w:line="400" w:lineRule="exact"/>
      <w:ind w:firstLine="482"/>
    </w:pPr>
    <w:rPr>
      <w:rFonts w:ascii="Times New Roman" w:hAnsi="Times New Roman" w:eastAsia="宋体" w:cs="Times New Roman"/>
      <w:b/>
      <w:sz w:val="24"/>
    </w:rPr>
  </w:style>
  <w:style w:type="character" w:customStyle="1" w:styleId="212">
    <w:name w:val="专栏标题 字符"/>
    <w:basedOn w:val="37"/>
    <w:link w:val="211"/>
    <w:qFormat/>
    <w:uiPriority w:val="0"/>
    <w:rPr>
      <w:rFonts w:ascii="Times New Roman" w:hAnsi="Times New Roman" w:eastAsia="宋体" w:cs="Times New Roman"/>
      <w:b/>
      <w:kern w:val="2"/>
      <w:sz w:val="24"/>
      <w:szCs w:val="22"/>
    </w:rPr>
  </w:style>
  <w:style w:type="paragraph" w:customStyle="1" w:styleId="213">
    <w:name w:val="专栏文字格式"/>
    <w:basedOn w:val="1"/>
    <w:link w:val="214"/>
    <w:qFormat/>
    <w:uiPriority w:val="0"/>
    <w:pPr>
      <w:widowControl/>
      <w:tabs>
        <w:tab w:val="left" w:pos="360"/>
      </w:tabs>
      <w:spacing w:line="480" w:lineRule="exact"/>
    </w:pPr>
    <w:rPr>
      <w:rFonts w:ascii="Times New Roman" w:hAnsi="Times New Roman" w:eastAsia="宋体"/>
      <w:color w:val="000000" w:themeColor="text1"/>
      <w:kern w:val="0"/>
      <w:sz w:val="28"/>
      <w14:textFill>
        <w14:solidFill>
          <w14:schemeClr w14:val="tx1"/>
        </w14:solidFill>
      </w14:textFill>
    </w:rPr>
  </w:style>
  <w:style w:type="character" w:customStyle="1" w:styleId="214">
    <w:name w:val="专栏文字格式 字符"/>
    <w:basedOn w:val="37"/>
    <w:link w:val="213"/>
    <w:qFormat/>
    <w:uiPriority w:val="0"/>
    <w:rPr>
      <w:rFonts w:ascii="Times New Roman" w:hAnsi="Times New Roman" w:eastAsia="宋体"/>
      <w:color w:val="000000" w:themeColor="text1"/>
      <w:sz w:val="28"/>
      <w:szCs w:val="22"/>
      <w14:textFill>
        <w14:solidFill>
          <w14:schemeClr w14:val="tx1"/>
        </w14:solidFill>
      </w14:textFill>
    </w:rPr>
  </w:style>
  <w:style w:type="paragraph" w:customStyle="1" w:styleId="215">
    <w:name w:val="TOC 标题2"/>
    <w:basedOn w:val="3"/>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216">
    <w:name w:val="附录表格文字"/>
    <w:basedOn w:val="1"/>
    <w:qFormat/>
    <w:uiPriority w:val="0"/>
    <w:pPr>
      <w:widowControl/>
      <w:tabs>
        <w:tab w:val="left" w:pos="360"/>
      </w:tabs>
      <w:spacing w:line="240" w:lineRule="auto"/>
      <w:ind w:firstLine="0" w:firstLineChars="0"/>
      <w:jc w:val="center"/>
    </w:pPr>
    <w:rPr>
      <w:rFonts w:hint="eastAsia" w:ascii="Times New Roman" w:hAnsi="Times New Roman" w:cs="等线"/>
      <w:kern w:val="0"/>
      <w:sz w:val="21"/>
      <w:szCs w:val="21"/>
    </w:rPr>
  </w:style>
  <w:style w:type="paragraph" w:customStyle="1" w:styleId="217">
    <w:name w:val="文本正文"/>
    <w:basedOn w:val="1"/>
    <w:link w:val="218"/>
    <w:qFormat/>
    <w:uiPriority w:val="0"/>
    <w:pPr>
      <w:ind w:firstLine="560"/>
    </w:pPr>
    <w:rPr>
      <w:rFonts w:ascii="Times New Roman" w:hAnsi="Times New Roman" w:eastAsia="仿宋" w:cs="Times New Roman"/>
      <w:szCs w:val="24"/>
    </w:rPr>
  </w:style>
  <w:style w:type="character" w:customStyle="1" w:styleId="218">
    <w:name w:val="文本正文 Char"/>
    <w:basedOn w:val="37"/>
    <w:link w:val="217"/>
    <w:qFormat/>
    <w:uiPriority w:val="0"/>
    <w:rPr>
      <w:rFonts w:ascii="Times New Roman" w:hAnsi="Times New Roman" w:eastAsia="仿宋" w:cs="Times New Roman"/>
      <w:kern w:val="2"/>
      <w:sz w:val="32"/>
      <w:szCs w:val="24"/>
    </w:rPr>
  </w:style>
  <w:style w:type="character" w:customStyle="1" w:styleId="219">
    <w:name w:val="表格文字 字符"/>
    <w:link w:val="220"/>
    <w:qFormat/>
    <w:uiPriority w:val="0"/>
    <w:rPr>
      <w:rFonts w:ascii="Times New Roman" w:hAnsi="Times New Roman" w:eastAsia="仿宋_GB2312" w:cs="等线"/>
      <w:sz w:val="21"/>
      <w:szCs w:val="21"/>
    </w:rPr>
  </w:style>
  <w:style w:type="paragraph" w:customStyle="1" w:styleId="220">
    <w:name w:val="表格文字"/>
    <w:basedOn w:val="1"/>
    <w:link w:val="219"/>
    <w:qFormat/>
    <w:uiPriority w:val="0"/>
    <w:pPr>
      <w:widowControl/>
      <w:tabs>
        <w:tab w:val="left" w:pos="360"/>
      </w:tabs>
      <w:spacing w:line="240" w:lineRule="auto"/>
      <w:jc w:val="center"/>
    </w:pPr>
    <w:rPr>
      <w:rFonts w:ascii="Times New Roman" w:hAnsi="Times New Roman" w:cs="等线"/>
      <w:kern w:val="0"/>
      <w:sz w:val="21"/>
      <w:szCs w:val="21"/>
    </w:rPr>
  </w:style>
  <w:style w:type="paragraph" w:customStyle="1" w:styleId="221">
    <w:name w:val="第n条"/>
    <w:basedOn w:val="5"/>
    <w:qFormat/>
    <w:uiPriority w:val="0"/>
    <w:pPr>
      <w:spacing w:before="312" w:beforeAutospacing="0" w:after="312" w:afterAutospacing="0" w:line="560" w:lineRule="exact"/>
      <w:ind w:left="1006" w:hanging="1006" w:firstLineChars="0"/>
      <w:jc w:val="left"/>
    </w:pPr>
    <w:rPr>
      <w:rFonts w:ascii="黑体" w:hAnsi="黑体" w:eastAsia="楷体"/>
      <w:b w:val="0"/>
    </w:rPr>
  </w:style>
  <w:style w:type="table" w:customStyle="1" w:styleId="222">
    <w:name w:val="Table Normal"/>
    <w:semiHidden/>
    <w:unhideWhenUsed/>
    <w:qFormat/>
    <w:uiPriority w:val="0"/>
    <w:tblPr>
      <w:tblCellMar>
        <w:top w:w="0" w:type="dxa"/>
        <w:left w:w="0" w:type="dxa"/>
        <w:bottom w:w="0" w:type="dxa"/>
        <w:right w:w="0" w:type="dxa"/>
      </w:tblCellMar>
    </w:tblPr>
  </w:style>
  <w:style w:type="paragraph" w:customStyle="1" w:styleId="223">
    <w:name w:val="Table Text"/>
    <w:basedOn w:val="1"/>
    <w:semiHidden/>
    <w:qFormat/>
    <w:uiPriority w:val="0"/>
    <w:rPr>
      <w:rFonts w:ascii="仿宋" w:hAnsi="仿宋" w:eastAsia="仿宋" w:cs="仿宋"/>
      <w:sz w:val="24"/>
      <w:szCs w:val="24"/>
    </w:rPr>
  </w:style>
  <w:style w:type="paragraph" w:customStyle="1" w:styleId="224">
    <w:name w:val="0609附表正文"/>
    <w:basedOn w:val="1"/>
    <w:qFormat/>
    <w:uiPriority w:val="0"/>
    <w:pPr>
      <w:spacing w:line="240" w:lineRule="auto"/>
      <w:ind w:firstLine="0" w:firstLineChars="0"/>
      <w:jc w:val="center"/>
    </w:pPr>
    <w:rPr>
      <w:rFonts w:ascii="Times New Roman" w:hAnsi="Times New Roman" w:cs="Times New Roman"/>
      <w:color w:val="auto"/>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363</Words>
  <Characters>401</Characters>
  <Lines>51</Lines>
  <Paragraphs>14</Paragraphs>
  <TotalTime>3</TotalTime>
  <ScaleCrop>false</ScaleCrop>
  <LinksUpToDate>false</LinksUpToDate>
  <CharactersWithSpaces>528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2024-10-14T00:57:00Z</dcterms:created>
  <dc:creator>浅色绿软</dc:creator>
  <cp:lastModifiedBy>小道消息</cp:lastModifiedBy>
  <cp:lastPrinted>2024-09-24T03:12:00Z</cp:lastPrinted>
  <dcterms:modified xsi:type="dcterms:W3CDTF">2026-10-08T09:16:09Z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B479BAEC11384BAA90B32D2344CA9119_13</vt:lpwstr>
  </property>
  <property fmtid="{D5CDD505-2E9C-101B-9397-08002B2CF9AE}" pid="4" name="KSOTemplateDocerSaveRecord">
    <vt:lpwstr>eyJoZGlkIjoiYjJlOTcxNDE4ZWRiMWEwMDlkM2VhNjdkNjNhMGQxNzIiLCJ1c2VySWQiOiIzODMyNTgxOTkifQ==</vt:lpwstr>
  </property>
</Properties>
</file>