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34A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bookmarkStart w:id="0" w:name="_GoBack"/>
      <w:bookmarkEnd w:id="0"/>
      <w:r>
        <w:rPr>
          <w:rFonts w:hint="eastAsia" w:ascii="仿宋_GB2312" w:hAnsi="仿宋_GB2312" w:eastAsia="仿宋_GB2312" w:cs="仿宋_GB2312"/>
          <w:b/>
          <w:bCs/>
          <w:sz w:val="28"/>
          <w:szCs w:val="28"/>
          <w:shd w:val="clear" w:color="auto" w:fill="auto"/>
          <w:lang w:eastAsia="zh-CN"/>
        </w:rPr>
        <w:t>黑龙江省绥棱县努敏河林富村段治理工程</w:t>
      </w:r>
      <w:r>
        <w:rPr>
          <w:rFonts w:hint="eastAsia" w:ascii="仿宋_GB2312" w:hAnsi="仿宋_GB2312" w:eastAsia="仿宋_GB2312" w:cs="仿宋_GB2312"/>
          <w:b/>
          <w:bCs/>
          <w:sz w:val="28"/>
          <w:szCs w:val="28"/>
          <w:shd w:val="clear" w:color="auto" w:fill="auto"/>
          <w:lang w:val="en-US" w:eastAsia="zh-CN"/>
        </w:rPr>
        <w:t>建设项目</w:t>
      </w:r>
      <w:r>
        <w:rPr>
          <w:rFonts w:hint="eastAsia" w:ascii="仿宋_GB2312" w:hAnsi="仿宋_GB2312" w:eastAsia="仿宋_GB2312" w:cs="仿宋_GB2312"/>
          <w:b/>
          <w:bCs/>
          <w:sz w:val="28"/>
          <w:szCs w:val="28"/>
          <w:shd w:val="clear" w:color="auto" w:fill="auto"/>
        </w:rPr>
        <w:t>环境影响评价文件审批意见的公示一览表</w:t>
      </w:r>
    </w:p>
    <w:tbl>
      <w:tblPr>
        <w:tblStyle w:val="14"/>
        <w:tblpPr w:leftFromText="180" w:rightFromText="180" w:vertAnchor="text" w:horzAnchor="page" w:tblpX="1827" w:tblpY="1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360"/>
        <w:gridCol w:w="360"/>
        <w:gridCol w:w="375"/>
        <w:gridCol w:w="765"/>
        <w:gridCol w:w="1620"/>
        <w:gridCol w:w="3990"/>
        <w:gridCol w:w="651"/>
      </w:tblGrid>
      <w:tr w14:paraId="467C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320" w:type="dxa"/>
            <w:noWrap w:val="0"/>
            <w:vAlign w:val="top"/>
          </w:tcPr>
          <w:p w14:paraId="5ED235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序号</w:t>
            </w:r>
          </w:p>
        </w:tc>
        <w:tc>
          <w:tcPr>
            <w:tcW w:w="360" w:type="dxa"/>
            <w:noWrap w:val="0"/>
            <w:vAlign w:val="top"/>
          </w:tcPr>
          <w:p w14:paraId="407ACE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项目名称</w:t>
            </w:r>
          </w:p>
        </w:tc>
        <w:tc>
          <w:tcPr>
            <w:tcW w:w="360" w:type="dxa"/>
            <w:noWrap w:val="0"/>
            <w:vAlign w:val="top"/>
          </w:tcPr>
          <w:p w14:paraId="6803DA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建设地点</w:t>
            </w:r>
          </w:p>
        </w:tc>
        <w:tc>
          <w:tcPr>
            <w:tcW w:w="375" w:type="dxa"/>
            <w:noWrap w:val="0"/>
            <w:vAlign w:val="top"/>
          </w:tcPr>
          <w:p w14:paraId="4BAE25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建设单位</w:t>
            </w:r>
          </w:p>
        </w:tc>
        <w:tc>
          <w:tcPr>
            <w:tcW w:w="765" w:type="dxa"/>
            <w:noWrap w:val="0"/>
            <w:vAlign w:val="top"/>
          </w:tcPr>
          <w:p w14:paraId="2E950D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环境影响评价机构</w:t>
            </w:r>
          </w:p>
        </w:tc>
        <w:tc>
          <w:tcPr>
            <w:tcW w:w="1620" w:type="dxa"/>
            <w:noWrap w:val="0"/>
            <w:vAlign w:val="top"/>
          </w:tcPr>
          <w:p w14:paraId="56C75877">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项目</w:t>
            </w:r>
          </w:p>
          <w:p w14:paraId="6A634DAE">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概况</w:t>
            </w:r>
          </w:p>
        </w:tc>
        <w:tc>
          <w:tcPr>
            <w:tcW w:w="3990" w:type="dxa"/>
            <w:noWrap w:val="0"/>
            <w:vAlign w:val="top"/>
          </w:tcPr>
          <w:p w14:paraId="03060A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rPr>
            </w:pPr>
            <w:r>
              <w:rPr>
                <w:rFonts w:hint="eastAsia" w:ascii="仿宋_GB2312" w:hAnsi="仿宋_GB2312" w:eastAsia="仿宋_GB2312" w:cs="仿宋_GB2312"/>
                <w:b w:val="0"/>
                <w:bCs/>
                <w:sz w:val="21"/>
                <w:szCs w:val="21"/>
              </w:rPr>
              <w:t>主要环境影响及预防或者减轻不良环境影响的对策和措施</w:t>
            </w:r>
          </w:p>
        </w:tc>
        <w:tc>
          <w:tcPr>
            <w:tcW w:w="651" w:type="dxa"/>
            <w:noWrap w:val="0"/>
            <w:vAlign w:val="top"/>
          </w:tcPr>
          <w:p w14:paraId="6BF5DB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公众参予</w:t>
            </w:r>
          </w:p>
          <w:p w14:paraId="234F18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eastAsia="仿宋_GB2312" w:cs="仿宋_GB2312"/>
                <w:sz w:val="21"/>
                <w:szCs w:val="21"/>
                <w:shd w:val="clear" w:color="auto" w:fill="auto"/>
                <w:vertAlign w:val="baseline"/>
                <w:lang w:eastAsia="zh-CN"/>
              </w:rPr>
              <w:t>情</w:t>
            </w:r>
            <w:r>
              <w:rPr>
                <w:rFonts w:hint="eastAsia" w:ascii="仿宋_GB2312" w:hAnsi="仿宋_GB2312" w:eastAsia="仿宋_GB2312" w:cs="仿宋_GB2312"/>
                <w:sz w:val="21"/>
                <w:szCs w:val="21"/>
                <w:shd w:val="clear" w:color="auto" w:fill="auto"/>
                <w:vertAlign w:val="baseline"/>
                <w:lang w:val="en-US" w:eastAsia="zh-CN"/>
              </w:rPr>
              <w:t>况</w:t>
            </w:r>
          </w:p>
        </w:tc>
      </w:tr>
      <w:tr w14:paraId="3311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8" w:hRule="atLeast"/>
        </w:trPr>
        <w:tc>
          <w:tcPr>
            <w:tcW w:w="320" w:type="dxa"/>
            <w:noWrap w:val="0"/>
            <w:vAlign w:val="top"/>
          </w:tcPr>
          <w:p w14:paraId="1E8F10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1</w:t>
            </w:r>
          </w:p>
        </w:tc>
        <w:tc>
          <w:tcPr>
            <w:tcW w:w="360" w:type="dxa"/>
            <w:noWrap w:val="0"/>
            <w:vAlign w:val="top"/>
          </w:tcPr>
          <w:p w14:paraId="4AB605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黑龙江省绥棱县努敏河林富村段治理工程</w:t>
            </w:r>
          </w:p>
        </w:tc>
        <w:tc>
          <w:tcPr>
            <w:tcW w:w="360" w:type="dxa"/>
            <w:noWrap w:val="0"/>
            <w:vAlign w:val="top"/>
          </w:tcPr>
          <w:p w14:paraId="4C1D0BB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szCs w:val="21"/>
                <w:lang w:eastAsia="zh-CN"/>
              </w:rPr>
              <w:t>黑龙江省绥棱县努敏河林富村</w:t>
            </w:r>
          </w:p>
        </w:tc>
        <w:tc>
          <w:tcPr>
            <w:tcW w:w="375" w:type="dxa"/>
            <w:noWrap w:val="0"/>
            <w:vAlign w:val="top"/>
          </w:tcPr>
          <w:p w14:paraId="1A908C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绥棱县水务局</w:t>
            </w:r>
          </w:p>
        </w:tc>
        <w:tc>
          <w:tcPr>
            <w:tcW w:w="765" w:type="dxa"/>
            <w:noWrap w:val="0"/>
            <w:vAlign w:val="top"/>
          </w:tcPr>
          <w:p w14:paraId="68EE56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p>
          <w:p w14:paraId="607901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黑龙江和正环保科技有限公司</w:t>
            </w:r>
          </w:p>
        </w:tc>
        <w:tc>
          <w:tcPr>
            <w:tcW w:w="1620" w:type="dxa"/>
            <w:noWrap w:val="0"/>
            <w:vAlign w:val="top"/>
          </w:tcPr>
          <w:p w14:paraId="6FB14F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黑龙江省绥棱县努敏河林富村段治理工程建设项目，建设性质为新建，建设地点位于黑龙江省绥棱县努敏河林富村，地理坐标：起点（127度36分36.450秒，47度35分22.713秒）；终点（127度44分'23.650秒，47度35分28.296秒）总长度0.416km</w:t>
            </w:r>
            <w:r>
              <w:rPr>
                <w:rFonts w:hint="default" w:ascii="仿宋_GB2312" w:hAnsi="仿宋_GB2312" w:eastAsia="仿宋_GB2312" w:cs="仿宋_GB2312"/>
                <w:b w:val="0"/>
                <w:bCs/>
                <w:w w:val="90"/>
                <w:sz w:val="24"/>
                <w:szCs w:val="24"/>
                <w:u w:val="none"/>
                <w:lang w:val="zh-CN" w:eastAsia="zh-CN"/>
              </w:rPr>
              <w:t>。</w:t>
            </w:r>
            <w:r>
              <w:rPr>
                <w:rFonts w:hint="eastAsia" w:ascii="仿宋_GB2312" w:hAnsi="仿宋_GB2312" w:eastAsia="仿宋_GB2312" w:cs="仿宋_GB2312"/>
                <w:b w:val="0"/>
                <w:bCs/>
                <w:w w:val="90"/>
                <w:sz w:val="24"/>
                <w:szCs w:val="24"/>
                <w:u w:val="none"/>
                <w:lang w:val="en-US" w:eastAsia="zh-CN"/>
              </w:rPr>
              <w:t>工程建设内容：新建护岸1处，位于向阳水库渠首上游林富村段左岸，护岸总长度416m。</w:t>
            </w:r>
            <w:r>
              <w:rPr>
                <w:rFonts w:hint="default" w:ascii="仿宋_GB2312" w:hAnsi="仿宋_GB2312" w:eastAsia="仿宋_GB2312" w:cs="仿宋_GB2312"/>
                <w:b w:val="0"/>
                <w:bCs/>
                <w:w w:val="90"/>
                <w:sz w:val="24"/>
                <w:szCs w:val="24"/>
                <w:u w:val="none"/>
                <w:lang w:val="en-US" w:eastAsia="zh-CN"/>
              </w:rPr>
              <w:t>工程建设占地总面积0.45h</w:t>
            </w:r>
            <w:r>
              <w:rPr>
                <w:rFonts w:hint="eastAsia" w:ascii="仿宋_GB2312" w:hAnsi="仿宋_GB2312" w:eastAsia="仿宋_GB2312" w:cs="仿宋_GB2312"/>
                <w:b w:val="0"/>
                <w:bCs/>
                <w:w w:val="90"/>
                <w:sz w:val="24"/>
                <w:szCs w:val="24"/>
                <w:u w:val="none"/>
                <w:lang w:val="en-US" w:eastAsia="zh-CN"/>
              </w:rPr>
              <w:t>㎡</w:t>
            </w:r>
            <w:r>
              <w:rPr>
                <w:rFonts w:hint="default" w:ascii="仿宋_GB2312" w:hAnsi="仿宋_GB2312" w:eastAsia="仿宋_GB2312" w:cs="仿宋_GB2312"/>
                <w:b w:val="0"/>
                <w:bCs/>
                <w:w w:val="90"/>
                <w:sz w:val="24"/>
                <w:szCs w:val="24"/>
                <w:u w:val="none"/>
                <w:lang w:val="en-US" w:eastAsia="zh-CN"/>
              </w:rPr>
              <w:t>，其中永久占地面积 0.41h</w:t>
            </w:r>
            <w:r>
              <w:rPr>
                <w:rFonts w:hint="eastAsia" w:ascii="仿宋_GB2312" w:hAnsi="仿宋_GB2312" w:eastAsia="仿宋_GB2312" w:cs="仿宋_GB2312"/>
                <w:b w:val="0"/>
                <w:bCs/>
                <w:w w:val="90"/>
                <w:sz w:val="24"/>
                <w:szCs w:val="24"/>
                <w:u w:val="none"/>
                <w:lang w:val="en-US" w:eastAsia="zh-CN"/>
              </w:rPr>
              <w:t>㎡</w:t>
            </w:r>
            <w:r>
              <w:rPr>
                <w:rFonts w:hint="default" w:ascii="仿宋_GB2312" w:hAnsi="仿宋_GB2312" w:eastAsia="仿宋_GB2312" w:cs="仿宋_GB2312"/>
                <w:b w:val="0"/>
                <w:bCs/>
                <w:w w:val="90"/>
                <w:sz w:val="24"/>
                <w:szCs w:val="24"/>
                <w:u w:val="none"/>
                <w:lang w:val="en-US" w:eastAsia="zh-CN"/>
              </w:rPr>
              <w:t>，临时占地面积0.04</w:t>
            </w:r>
            <w:r>
              <w:rPr>
                <w:rFonts w:hint="eastAsia" w:ascii="仿宋_GB2312" w:hAnsi="仿宋_GB2312" w:eastAsia="仿宋_GB2312" w:cs="仿宋_GB2312"/>
                <w:b w:val="0"/>
                <w:bCs/>
                <w:w w:val="90"/>
                <w:sz w:val="24"/>
                <w:szCs w:val="24"/>
                <w:u w:val="none"/>
                <w:lang w:val="en-US" w:eastAsia="zh-CN"/>
              </w:rPr>
              <w:t>h㎡。</w:t>
            </w:r>
            <w:r>
              <w:rPr>
                <w:rFonts w:hint="default" w:ascii="仿宋_GB2312" w:hAnsi="仿宋_GB2312" w:eastAsia="仿宋_GB2312" w:cs="仿宋_GB2312"/>
                <w:b w:val="0"/>
                <w:bCs/>
                <w:w w:val="90"/>
                <w:sz w:val="24"/>
                <w:szCs w:val="24"/>
                <w:u w:val="none"/>
                <w:lang w:val="en-US" w:eastAsia="zh-CN"/>
              </w:rPr>
              <w:t>工程总量为6872.33</w:t>
            </w:r>
            <w:r>
              <w:rPr>
                <w:rFonts w:hint="eastAsia" w:ascii="仿宋_GB2312" w:hAnsi="仿宋_GB2312" w:eastAsia="仿宋_GB2312" w:cs="仿宋_GB2312"/>
                <w:b w:val="0"/>
                <w:bCs/>
                <w:w w:val="90"/>
                <w:sz w:val="24"/>
                <w:szCs w:val="24"/>
                <w:u w:val="none"/>
                <w:lang w:val="en-US" w:eastAsia="zh-CN"/>
              </w:rPr>
              <w:t>m³</w:t>
            </w:r>
            <w:r>
              <w:rPr>
                <w:rFonts w:hint="default" w:ascii="仿宋_GB2312" w:hAnsi="仿宋_GB2312" w:eastAsia="仿宋_GB2312" w:cs="仿宋_GB2312"/>
                <w:b w:val="0"/>
                <w:bCs/>
                <w:w w:val="90"/>
                <w:sz w:val="24"/>
                <w:szCs w:val="24"/>
                <w:u w:val="none"/>
                <w:lang w:val="en-US" w:eastAsia="zh-CN"/>
              </w:rPr>
              <w:t>，工程动用土石方总量为</w:t>
            </w:r>
            <w:r>
              <w:rPr>
                <w:rFonts w:hint="eastAsia" w:ascii="仿宋_GB2312" w:hAnsi="仿宋_GB2312" w:eastAsia="仿宋_GB2312" w:cs="仿宋_GB2312"/>
                <w:b w:val="0"/>
                <w:bCs/>
                <w:w w:val="90"/>
                <w:sz w:val="24"/>
                <w:szCs w:val="24"/>
                <w:u w:val="none"/>
                <w:lang w:val="en-US" w:eastAsia="zh-CN"/>
              </w:rPr>
              <w:t>6172.95m³</w:t>
            </w:r>
            <w:r>
              <w:rPr>
                <w:rFonts w:hint="default" w:ascii="仿宋_GB2312" w:hAnsi="仿宋_GB2312" w:eastAsia="仿宋_GB2312" w:cs="仿宋_GB2312"/>
                <w:b w:val="0"/>
                <w:bCs/>
                <w:w w:val="90"/>
                <w:sz w:val="24"/>
                <w:szCs w:val="24"/>
                <w:u w:val="none"/>
                <w:lang w:val="en-US" w:eastAsia="zh-CN"/>
              </w:rPr>
              <w:t>，其中开挖方</w:t>
            </w:r>
            <w:r>
              <w:rPr>
                <w:rFonts w:hint="eastAsia" w:ascii="仿宋_GB2312" w:hAnsi="仿宋_GB2312" w:eastAsia="仿宋_GB2312" w:cs="仿宋_GB2312"/>
                <w:b w:val="0"/>
                <w:bCs/>
                <w:w w:val="90"/>
                <w:sz w:val="24"/>
                <w:szCs w:val="24"/>
                <w:u w:val="none"/>
                <w:lang w:val="en-US" w:eastAsia="zh-CN"/>
              </w:rPr>
              <w:t>1930.24m³</w:t>
            </w:r>
            <w:r>
              <w:rPr>
                <w:rFonts w:hint="default" w:ascii="仿宋_GB2312" w:hAnsi="仿宋_GB2312" w:eastAsia="仿宋_GB2312" w:cs="仿宋_GB2312"/>
                <w:b w:val="0"/>
                <w:bCs/>
                <w:w w:val="90"/>
                <w:sz w:val="24"/>
                <w:szCs w:val="24"/>
                <w:u w:val="none"/>
                <w:lang w:val="en-US" w:eastAsia="zh-CN"/>
              </w:rPr>
              <w:t>（表土剥离</w:t>
            </w:r>
            <w:r>
              <w:rPr>
                <w:rFonts w:hint="eastAsia" w:ascii="仿宋_GB2312" w:hAnsi="仿宋_GB2312" w:eastAsia="仿宋_GB2312" w:cs="仿宋_GB2312"/>
                <w:b w:val="0"/>
                <w:bCs/>
                <w:w w:val="90"/>
                <w:sz w:val="24"/>
                <w:szCs w:val="24"/>
                <w:u w:val="none"/>
                <w:lang w:val="en-US" w:eastAsia="zh-CN"/>
              </w:rPr>
              <w:t>940.00m³</w:t>
            </w:r>
            <w:r>
              <w:rPr>
                <w:rFonts w:hint="default" w:ascii="仿宋_GB2312" w:hAnsi="仿宋_GB2312" w:eastAsia="仿宋_GB2312" w:cs="仿宋_GB2312"/>
                <w:b w:val="0"/>
                <w:bCs/>
                <w:w w:val="90"/>
                <w:sz w:val="24"/>
                <w:szCs w:val="24"/>
                <w:u w:val="none"/>
                <w:lang w:val="en-US" w:eastAsia="zh-CN"/>
              </w:rPr>
              <w:t>），回填方</w:t>
            </w:r>
            <w:r>
              <w:rPr>
                <w:rFonts w:hint="eastAsia" w:ascii="仿宋_GB2312" w:hAnsi="仿宋_GB2312" w:eastAsia="仿宋_GB2312" w:cs="仿宋_GB2312"/>
                <w:b w:val="0"/>
                <w:bCs/>
                <w:w w:val="90"/>
                <w:sz w:val="24"/>
                <w:szCs w:val="24"/>
                <w:u w:val="none"/>
                <w:lang w:val="en-US" w:eastAsia="zh-CN"/>
              </w:rPr>
              <w:t>4242.71m³</w:t>
            </w:r>
            <w:r>
              <w:rPr>
                <w:rFonts w:hint="default" w:ascii="仿宋_GB2312" w:hAnsi="仿宋_GB2312" w:eastAsia="仿宋_GB2312" w:cs="仿宋_GB2312"/>
                <w:b w:val="0"/>
                <w:bCs/>
                <w:w w:val="90"/>
                <w:sz w:val="24"/>
                <w:szCs w:val="24"/>
                <w:u w:val="none"/>
                <w:lang w:val="en-US" w:eastAsia="zh-CN"/>
              </w:rPr>
              <w:t>（表土回填</w:t>
            </w:r>
            <w:r>
              <w:rPr>
                <w:rFonts w:hint="eastAsia" w:ascii="仿宋_GB2312" w:hAnsi="仿宋_GB2312" w:eastAsia="仿宋_GB2312" w:cs="仿宋_GB2312"/>
                <w:b w:val="0"/>
                <w:bCs/>
                <w:w w:val="90"/>
                <w:sz w:val="24"/>
                <w:szCs w:val="24"/>
                <w:u w:val="none"/>
                <w:lang w:val="en-US" w:eastAsia="zh-CN"/>
              </w:rPr>
              <w:t>940.00m³</w:t>
            </w:r>
            <w:r>
              <w:rPr>
                <w:rFonts w:hint="default" w:ascii="仿宋_GB2312" w:hAnsi="仿宋_GB2312" w:eastAsia="仿宋_GB2312" w:cs="仿宋_GB2312"/>
                <w:b w:val="0"/>
                <w:bCs/>
                <w:w w:val="90"/>
                <w:sz w:val="24"/>
                <w:szCs w:val="24"/>
                <w:u w:val="none"/>
                <w:lang w:val="en-US" w:eastAsia="zh-CN"/>
              </w:rPr>
              <w:t>），余方</w:t>
            </w:r>
            <w:r>
              <w:rPr>
                <w:rFonts w:hint="eastAsia" w:ascii="仿宋_GB2312" w:hAnsi="仿宋_GB2312" w:eastAsia="仿宋_GB2312" w:cs="仿宋_GB2312"/>
                <w:b w:val="0"/>
                <w:bCs/>
                <w:w w:val="90"/>
                <w:sz w:val="24"/>
                <w:szCs w:val="24"/>
                <w:u w:val="none"/>
                <w:lang w:val="en-US" w:eastAsia="zh-CN"/>
              </w:rPr>
              <w:t>297.08m³</w:t>
            </w:r>
            <w:r>
              <w:rPr>
                <w:rFonts w:hint="default" w:ascii="仿宋_GB2312" w:hAnsi="仿宋_GB2312" w:eastAsia="仿宋_GB2312" w:cs="仿宋_GB2312"/>
                <w:b w:val="0"/>
                <w:bCs/>
                <w:w w:val="90"/>
                <w:sz w:val="24"/>
                <w:szCs w:val="24"/>
                <w:u w:val="none"/>
                <w:lang w:val="en-US" w:eastAsia="zh-CN"/>
              </w:rPr>
              <w:t>，</w:t>
            </w:r>
            <w:r>
              <w:rPr>
                <w:rFonts w:hint="eastAsia" w:ascii="仿宋_GB2312" w:hAnsi="仿宋_GB2312" w:eastAsia="仿宋_GB2312" w:cs="仿宋_GB2312"/>
                <w:b w:val="0"/>
                <w:bCs/>
                <w:w w:val="90"/>
                <w:sz w:val="24"/>
                <w:szCs w:val="24"/>
                <w:u w:val="none"/>
                <w:lang w:val="en-US" w:eastAsia="zh-CN"/>
              </w:rPr>
              <w:t>工程均可在枯水期施工，</w:t>
            </w:r>
            <w:r>
              <w:rPr>
                <w:rFonts w:hint="default" w:ascii="仿宋_GB2312" w:hAnsi="仿宋_GB2312" w:eastAsia="仿宋_GB2312" w:cs="仿宋_GB2312"/>
                <w:b w:val="0"/>
                <w:bCs/>
                <w:w w:val="90"/>
                <w:sz w:val="24"/>
                <w:szCs w:val="24"/>
                <w:u w:val="none"/>
                <w:lang w:val="en-US" w:eastAsia="zh-CN"/>
              </w:rPr>
              <w:t>本工程</w:t>
            </w:r>
            <w:r>
              <w:rPr>
                <w:rFonts w:hint="eastAsia" w:ascii="仿宋_GB2312" w:hAnsi="仿宋_GB2312" w:eastAsia="仿宋_GB2312" w:cs="仿宋_GB2312"/>
                <w:b w:val="0"/>
                <w:bCs/>
                <w:w w:val="90"/>
                <w:sz w:val="24"/>
                <w:szCs w:val="24"/>
                <w:u w:val="none"/>
                <w:lang w:val="en-US" w:eastAsia="zh-CN"/>
              </w:rPr>
              <w:t>不</w:t>
            </w:r>
            <w:r>
              <w:rPr>
                <w:rFonts w:hint="default" w:ascii="仿宋_GB2312" w:hAnsi="仿宋_GB2312" w:eastAsia="仿宋_GB2312" w:cs="仿宋_GB2312"/>
                <w:b w:val="0"/>
                <w:bCs/>
                <w:w w:val="90"/>
                <w:sz w:val="24"/>
                <w:szCs w:val="24"/>
                <w:u w:val="none"/>
                <w:lang w:val="en-US" w:eastAsia="zh-CN"/>
              </w:rPr>
              <w:t>设置弃土场</w:t>
            </w:r>
            <w:r>
              <w:rPr>
                <w:rFonts w:hint="eastAsia" w:ascii="仿宋_GB2312" w:hAnsi="仿宋_GB2312" w:eastAsia="仿宋_GB2312" w:cs="仿宋_GB2312"/>
                <w:b w:val="0"/>
                <w:bCs/>
                <w:w w:val="90"/>
                <w:sz w:val="24"/>
                <w:szCs w:val="24"/>
                <w:u w:val="none"/>
                <w:lang w:val="en-US" w:eastAsia="zh-CN"/>
              </w:rPr>
              <w:t>、</w:t>
            </w:r>
            <w:r>
              <w:rPr>
                <w:rFonts w:hint="default" w:ascii="仿宋_GB2312" w:hAnsi="仿宋_GB2312" w:eastAsia="仿宋_GB2312" w:cs="仿宋_GB2312"/>
                <w:b w:val="0"/>
                <w:bCs/>
                <w:w w:val="90"/>
                <w:sz w:val="24"/>
                <w:szCs w:val="24"/>
                <w:u w:val="none"/>
                <w:lang w:val="en-US" w:eastAsia="zh-CN"/>
              </w:rPr>
              <w:t>取土场</w:t>
            </w:r>
            <w:r>
              <w:rPr>
                <w:rFonts w:hint="eastAsia" w:ascii="仿宋_GB2312" w:hAnsi="仿宋_GB2312" w:eastAsia="仿宋_GB2312" w:cs="仿宋_GB2312"/>
                <w:b w:val="0"/>
                <w:bCs/>
                <w:w w:val="90"/>
                <w:sz w:val="24"/>
                <w:szCs w:val="24"/>
                <w:u w:val="none"/>
                <w:lang w:val="en-US" w:eastAsia="zh-CN"/>
              </w:rPr>
              <w:t>，</w:t>
            </w:r>
            <w:r>
              <w:rPr>
                <w:rFonts w:hint="default" w:ascii="仿宋_GB2312" w:hAnsi="仿宋_GB2312" w:eastAsia="仿宋_GB2312" w:cs="仿宋_GB2312"/>
                <w:b w:val="0"/>
                <w:bCs/>
                <w:w w:val="90"/>
                <w:sz w:val="24"/>
                <w:szCs w:val="24"/>
                <w:u w:val="none"/>
                <w:lang w:val="en-US" w:eastAsia="zh-CN"/>
              </w:rPr>
              <w:t>主体经土石方平衡后产生余方，余方平摊在管理范围河道背水坡</w:t>
            </w:r>
            <w:r>
              <w:rPr>
                <w:rFonts w:hint="eastAsia" w:ascii="仿宋_GB2312" w:hAnsi="仿宋_GB2312" w:eastAsia="仿宋_GB2312" w:cs="仿宋_GB2312"/>
                <w:b w:val="0"/>
                <w:bCs/>
                <w:w w:val="90"/>
                <w:sz w:val="24"/>
                <w:szCs w:val="24"/>
                <w:u w:val="none"/>
                <w:lang w:val="en-US" w:eastAsia="zh-CN"/>
              </w:rPr>
              <w:t>。施工材料临时堆放，在永久占地范围内，不单独设置临时堆场。本工程设置一个0.04h㎡施工生产生活区，不设置机械维修，不涉及混凝土生产。项目总投资158.76万元，环保投资7.62万元。</w:t>
            </w:r>
          </w:p>
        </w:tc>
        <w:tc>
          <w:tcPr>
            <w:tcW w:w="3990" w:type="dxa"/>
            <w:noWrap w:val="0"/>
            <w:vAlign w:val="top"/>
          </w:tcPr>
          <w:p w14:paraId="51D901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一）落实生态保护措施，防止水土流失。按照《黑龙江省水土保持规划（2015-2030年）》、《松花江流域综合规划》、《全国中小河流治理和病险水库除险加固、山洪地质灾害防御和综合治理总体规划》、《黑龙江省黑土地保护利用条例》、《黑龙江省人民政府办公厅关于建设占用耕地耕作层土壤剥离利用工作的指导意见（试行）》符合性等相关文件要求，建设单位在对工程涉及用地情况，应征求自然资源、林业草原等管理部门意见，并依法办理相关手续。</w:t>
            </w:r>
          </w:p>
          <w:p w14:paraId="64EAD0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施工过程中严格控制施工占地，按征地要求，不能超出界限，节约、集约使用黑土地，按照有关标准、规范和管理规定剥离表土，做好表土保护，避免破坏黑土地生态环境。表土剥离、运输、存储过程中，尽量缩短施工工期，减少疏松地面的裸露时间，合理安排施工时间，尽量避开雨季和汛期，防止土壤和环境污染，防止出现水土流失、土壤质量退化和安全隐患。工程共剥离表土</w:t>
            </w:r>
            <w:r>
              <w:rPr>
                <w:rFonts w:hint="default" w:ascii="仿宋_GB2312" w:hAnsi="仿宋_GB2312" w:eastAsia="仿宋_GB2312" w:cs="仿宋_GB2312"/>
                <w:b w:val="0"/>
                <w:bCs/>
                <w:w w:val="90"/>
                <w:sz w:val="24"/>
                <w:szCs w:val="24"/>
                <w:u w:val="none"/>
                <w:lang w:val="en-US" w:eastAsia="zh-CN"/>
              </w:rPr>
              <w:t>940</w:t>
            </w:r>
            <w:r>
              <w:rPr>
                <w:rFonts w:hint="eastAsia" w:ascii="仿宋_GB2312" w:hAnsi="仿宋_GB2312" w:eastAsia="仿宋_GB2312" w:cs="仿宋_GB2312"/>
                <w:b w:val="0"/>
                <w:bCs/>
                <w:w w:val="90"/>
                <w:sz w:val="24"/>
                <w:szCs w:val="24"/>
                <w:u w:val="none"/>
                <w:lang w:val="en-US" w:eastAsia="zh-CN"/>
              </w:rPr>
              <w:t>m³，表土回填方94</w:t>
            </w:r>
            <w:r>
              <w:rPr>
                <w:rFonts w:hint="default" w:ascii="仿宋_GB2312" w:hAnsi="仿宋_GB2312" w:eastAsia="仿宋_GB2312" w:cs="仿宋_GB2312"/>
                <w:b w:val="0"/>
                <w:bCs/>
                <w:w w:val="90"/>
                <w:sz w:val="24"/>
                <w:szCs w:val="24"/>
                <w:u w:val="none"/>
                <w:lang w:val="en-US" w:eastAsia="zh-CN"/>
              </w:rPr>
              <w:t>0</w:t>
            </w:r>
            <w:r>
              <w:rPr>
                <w:rFonts w:hint="eastAsia" w:ascii="仿宋_GB2312" w:hAnsi="仿宋_GB2312" w:eastAsia="仿宋_GB2312" w:cs="仿宋_GB2312"/>
                <w:b w:val="0"/>
                <w:bCs/>
                <w:w w:val="90"/>
                <w:sz w:val="24"/>
                <w:szCs w:val="24"/>
                <w:u w:val="none"/>
                <w:lang w:val="en-US" w:eastAsia="zh-CN"/>
              </w:rPr>
              <w:t>m³，无外借方，无余方，待工程结束后，拆除临时占地上的设施，清理平整土地后，恢复原有植被。</w:t>
            </w:r>
          </w:p>
          <w:p w14:paraId="17B02B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（二）水环境保护措施。本工程布设</w:t>
            </w:r>
            <w:r>
              <w:rPr>
                <w:rFonts w:hint="default" w:ascii="仿宋_GB2312" w:hAnsi="仿宋_GB2312" w:eastAsia="仿宋_GB2312" w:cs="仿宋_GB2312"/>
                <w:b w:val="0"/>
                <w:bCs/>
                <w:w w:val="90"/>
                <w:sz w:val="24"/>
                <w:szCs w:val="24"/>
                <w:u w:val="none"/>
                <w:lang w:val="en-US" w:eastAsia="zh-CN"/>
              </w:rPr>
              <w:t>1</w:t>
            </w:r>
            <w:r>
              <w:rPr>
                <w:rFonts w:hint="eastAsia" w:ascii="仿宋_GB2312" w:hAnsi="仿宋_GB2312" w:eastAsia="仿宋_GB2312" w:cs="仿宋_GB2312"/>
                <w:b w:val="0"/>
                <w:bCs/>
                <w:w w:val="90"/>
                <w:sz w:val="24"/>
                <w:szCs w:val="24"/>
                <w:u w:val="none"/>
                <w:lang w:val="en-US" w:eastAsia="zh-CN"/>
              </w:rPr>
              <w:t>处施工生产生活区，施工区内不得设置机修与洗车间、食堂，不得生产混凝土，不得产生含油废水、混凝土碱性废水以及骨料冲洗废水。</w:t>
            </w:r>
          </w:p>
          <w:p w14:paraId="4DFA6D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（三）环境空气保护措施。加强文明施工，在开挖集中区、施工场区和运输道路，非雨日洒水降尘，有效防止粉尘及扬尘发生，购买商品混凝土，不设置拌和站。</w:t>
            </w:r>
          </w:p>
          <w:p w14:paraId="2CBDE6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四）声环境保护措施。选用低噪声的生产机械和设备，对振动较大的设备使用减振机座，进入施工现场的机械设备，环保指标必须符合国家规定。采用高质量的消声器，降低车辆本身的噪声；运输车辆经过沿线村屯时应限速行驶，并禁止鸣笛。同时加强运输车辆保养维修，保持车辆运行良好，降低噪声；合理车辆运输时间，避开居民晚间休息时间。</w:t>
            </w:r>
          </w:p>
          <w:p w14:paraId="239ECE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（五）固体废物保护措施。建筑物的开挖土方优先考虑利用至建筑物回填用土，剩余土方平衡到堤防填筑用土中。</w:t>
            </w:r>
            <w:r>
              <w:rPr>
                <w:rFonts w:hint="default" w:ascii="仿宋_GB2312" w:hAnsi="仿宋_GB2312" w:eastAsia="仿宋_GB2312" w:cs="仿宋_GB2312"/>
                <w:b w:val="0"/>
                <w:bCs/>
                <w:w w:val="90"/>
                <w:sz w:val="24"/>
                <w:szCs w:val="24"/>
                <w:u w:val="none"/>
                <w:lang w:val="en-US" w:eastAsia="zh-CN"/>
              </w:rPr>
              <w:t>主体工程剥离的表土沿线临时堆存在永久占地范围内，随着施工前进而移动，不单独设置临时堆场，</w:t>
            </w:r>
            <w:r>
              <w:rPr>
                <w:rFonts w:hint="eastAsia" w:ascii="仿宋_GB2312" w:hAnsi="仿宋_GB2312" w:eastAsia="仿宋_GB2312" w:cs="仿宋_GB2312"/>
                <w:b w:val="0"/>
                <w:bCs/>
                <w:w w:val="90"/>
                <w:sz w:val="24"/>
                <w:szCs w:val="24"/>
                <w:u w:val="none"/>
                <w:lang w:val="en-US" w:eastAsia="zh-CN"/>
              </w:rPr>
              <w:t>临时工程表土剥离后暂存在表土堆置区，表土堆置区周围设置截水沟、挡土墙，施工结束后，表土全部用于临时占地的生态恢复用土。</w:t>
            </w:r>
          </w:p>
          <w:p w14:paraId="42F3C2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 xml:space="preserve">（六）环境风险防范措施 </w:t>
            </w:r>
          </w:p>
          <w:p w14:paraId="4551B2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施工机械和车辆等意外漏油，对于滴落地面的油采用抹布吸附，再采用危险废物专用储存桶盛装，按照危险废物管理，定期委托有资质部门拉运与处置。</w:t>
            </w:r>
          </w:p>
          <w:p w14:paraId="2AC40D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 xml:space="preserve">（七）人群健康保护措施。施工开始前，对施工人员进行一次身体检查，杜绝传染病患者进入施工队伍；施工期间，施工人员定期进行体检，预防异地病原体传入，避免发生相互交叉感染；体检以常规项目为主，并根据施工人员健康状况，增加有针对性的体检项目；体检工作应委托有资质的医疗卫生机构承担，对体检结果提出处理意见并妥善保存。 </w:t>
            </w:r>
          </w:p>
          <w:p w14:paraId="50ADFF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w w:val="90"/>
                <w:sz w:val="24"/>
                <w:szCs w:val="24"/>
                <w:u w:val="none"/>
                <w:lang w:val="en-US" w:eastAsia="zh-CN"/>
              </w:rPr>
            </w:pPr>
            <w:r>
              <w:rPr>
                <w:rFonts w:hint="eastAsia" w:ascii="仿宋_GB2312" w:hAnsi="仿宋_GB2312" w:eastAsia="仿宋_GB2312" w:cs="仿宋_GB2312"/>
                <w:b w:val="0"/>
                <w:bCs/>
                <w:w w:val="90"/>
                <w:sz w:val="24"/>
                <w:szCs w:val="24"/>
                <w:u w:val="none"/>
                <w:lang w:val="en-US" w:eastAsia="zh-CN"/>
              </w:rPr>
              <w:t>施工区卫生清理。施工人员进厂前应对临时施工区进行清理和卫生消毒；施工区环境卫生防疫范围包括生活区、办公区及邻近居民区，环境卫生防疫应包括定期防疫、消毒，建立环境卫生监督制度，防止自然疫源性疾病、介水传染病、虫媒传染病等疾病暴发流行；施工期间在施工区范围内开展灭鼠、灭蚊和灭蝇活动，减少传染媒介，切断疾病传播途径；</w:t>
            </w:r>
          </w:p>
        </w:tc>
        <w:tc>
          <w:tcPr>
            <w:tcW w:w="651" w:type="dxa"/>
            <w:noWrap w:val="0"/>
            <w:vAlign w:val="top"/>
          </w:tcPr>
          <w:p w14:paraId="386C95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18"/>
                <w:szCs w:val="18"/>
                <w:shd w:val="clear" w:color="auto" w:fill="auto"/>
                <w:vertAlign w:val="baseline"/>
              </w:rPr>
            </w:pPr>
          </w:p>
        </w:tc>
      </w:tr>
    </w:tbl>
    <w:p w14:paraId="3A358F4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shd w:val="clear" w:color="auto" w:fill="auto"/>
          <w:lang w:val="en-US" w:eastAsia="zh-CN"/>
        </w:rPr>
      </w:pPr>
    </w:p>
    <w:sectPr>
      <w:pgSz w:w="11906" w:h="16838"/>
      <w:pgMar w:top="1157" w:right="1800" w:bottom="115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3E625"/>
    <w:multiLevelType w:val="singleLevel"/>
    <w:tmpl w:val="A553E625"/>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zc2YWJhNDAxNzdlMzk2MWU5NDBkMDFhOWY4OGQifQ=="/>
  </w:docVars>
  <w:rsids>
    <w:rsidRoot w:val="2C3E66CC"/>
    <w:rsid w:val="05CF2D35"/>
    <w:rsid w:val="066F0C75"/>
    <w:rsid w:val="0B4D517A"/>
    <w:rsid w:val="0B687CE2"/>
    <w:rsid w:val="0BA82747"/>
    <w:rsid w:val="109A3245"/>
    <w:rsid w:val="131F4812"/>
    <w:rsid w:val="13AE2F81"/>
    <w:rsid w:val="15B43189"/>
    <w:rsid w:val="274A194E"/>
    <w:rsid w:val="27F66952"/>
    <w:rsid w:val="29282E37"/>
    <w:rsid w:val="2C3E66CC"/>
    <w:rsid w:val="2F4C6DE2"/>
    <w:rsid w:val="2FFA52CE"/>
    <w:rsid w:val="3A1C07BC"/>
    <w:rsid w:val="40BF4AA5"/>
    <w:rsid w:val="43981598"/>
    <w:rsid w:val="493E459E"/>
    <w:rsid w:val="49D875EE"/>
    <w:rsid w:val="4D6462A7"/>
    <w:rsid w:val="553C4B86"/>
    <w:rsid w:val="59FD5D05"/>
    <w:rsid w:val="5CC132CD"/>
    <w:rsid w:val="657171FE"/>
    <w:rsid w:val="66ED727A"/>
    <w:rsid w:val="69044460"/>
    <w:rsid w:val="6CB10018"/>
    <w:rsid w:val="70D32B5C"/>
    <w:rsid w:val="71DD135E"/>
    <w:rsid w:val="752525F7"/>
    <w:rsid w:val="76C643A8"/>
    <w:rsid w:val="7EA15005"/>
    <w:rsid w:val="7F2A13BE"/>
    <w:rsid w:val="BE7F4807"/>
    <w:rsid w:val="F7F89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wordWrap w:val="0"/>
      <w:adjustRightInd/>
      <w:spacing w:line="440" w:lineRule="exact"/>
      <w:textAlignment w:val="center"/>
      <w:outlineLvl w:val="0"/>
    </w:pPr>
    <w:rPr>
      <w:rFonts w:ascii="Times New Roman" w:eastAsia="宋体"/>
      <w:b/>
      <w:bCs/>
      <w:kern w:val="44"/>
      <w:sz w:val="44"/>
      <w:szCs w:val="44"/>
    </w:rPr>
  </w:style>
  <w:style w:type="paragraph" w:styleId="4">
    <w:name w:val="heading 3"/>
    <w:basedOn w:val="1"/>
    <w:next w:val="1"/>
    <w:qFormat/>
    <w:uiPriority w:val="0"/>
    <w:pPr>
      <w:keepNext/>
      <w:widowControl/>
      <w:spacing w:line="400" w:lineRule="atLeast"/>
      <w:outlineLvl w:val="2"/>
    </w:pPr>
    <w:rPr>
      <w:b/>
      <w:bCs/>
      <w:kern w:val="2"/>
      <w:sz w:val="32"/>
      <w:szCs w:val="32"/>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2">
    <w:name w:val="Body Text Indent 2"/>
    <w:basedOn w:val="1"/>
    <w:uiPriority w:val="0"/>
    <w:pPr>
      <w:spacing w:after="120" w:afterLines="0" w:line="480" w:lineRule="auto"/>
      <w:ind w:left="420" w:leftChars="200" w:firstLine="200" w:firstLineChars="200"/>
    </w:pPr>
    <w:rPr>
      <w:sz w:val="28"/>
    </w:rPr>
  </w:style>
  <w:style w:type="paragraph" w:styleId="5">
    <w:name w:val="Normal Indent"/>
    <w:basedOn w:val="1"/>
    <w:qFormat/>
    <w:uiPriority w:val="99"/>
    <w:pPr>
      <w:ind w:firstLine="420"/>
    </w:pPr>
    <w:rPr>
      <w:rFonts w:eastAsia="仿宋_GB2312"/>
      <w:sz w:val="32"/>
    </w:rPr>
  </w:style>
  <w:style w:type="paragraph" w:styleId="6">
    <w:name w:val="Body Text"/>
    <w:basedOn w:val="1"/>
    <w:next w:val="7"/>
    <w:qFormat/>
    <w:uiPriority w:val="0"/>
    <w:pPr>
      <w:spacing w:line="360" w:lineRule="auto"/>
    </w:pPr>
    <w:rPr>
      <w:sz w:val="24"/>
    </w:rPr>
  </w:style>
  <w:style w:type="paragraph" w:styleId="7">
    <w:name w:val="List Bullet 5"/>
    <w:basedOn w:val="1"/>
    <w:uiPriority w:val="0"/>
    <w:pPr>
      <w:numPr>
        <w:ilvl w:val="0"/>
        <w:numId w:val="1"/>
      </w:numPr>
    </w:pPr>
  </w:style>
  <w:style w:type="paragraph" w:styleId="8">
    <w:name w:val="Body Text Indent"/>
    <w:basedOn w:val="1"/>
    <w:qFormat/>
    <w:uiPriority w:val="0"/>
    <w:pPr>
      <w:spacing w:after="120"/>
      <w:ind w:left="420" w:leftChars="200"/>
    </w:pPr>
    <w:rPr>
      <w:kern w:val="0"/>
      <w:sz w:val="24"/>
      <w:szCs w:val="20"/>
    </w:rPr>
  </w:style>
  <w:style w:type="paragraph" w:styleId="9">
    <w:name w:val="toc 2"/>
    <w:basedOn w:val="1"/>
    <w:next w:val="1"/>
    <w:qFormat/>
    <w:uiPriority w:val="39"/>
    <w:pPr>
      <w:ind w:left="420" w:leftChars="200"/>
    </w:p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6"/>
    <w:next w:val="1"/>
    <w:uiPriority w:val="0"/>
    <w:pPr>
      <w:spacing w:after="120" w:line="240" w:lineRule="auto"/>
      <w:ind w:firstLine="420" w:firstLineChars="100"/>
    </w:pPr>
    <w:rPr>
      <w:sz w:val="21"/>
    </w:rPr>
  </w:style>
  <w:style w:type="paragraph" w:styleId="12">
    <w:name w:val="Body Text First Indent 2"/>
    <w:basedOn w:val="8"/>
    <w:next w:val="11"/>
    <w:unhideWhenUsed/>
    <w:qFormat/>
    <w:uiPriority w:val="99"/>
    <w:pPr>
      <w:spacing w:after="120"/>
      <w:ind w:left="420" w:leftChars="200" w:firstLine="420" w:firstLineChars="200"/>
    </w:pPr>
    <w:rPr>
      <w:rFonts w:ascii="Calibri" w:hAnsi="Calibri" w:eastAsia="宋体" w:cs="Times New Roman"/>
      <w:szCs w:val="22"/>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iPriority w:val="0"/>
    <w:rPr>
      <w:color w:val="800080"/>
      <w:u w:val="none"/>
    </w:rPr>
  </w:style>
  <w:style w:type="character" w:styleId="17">
    <w:name w:val="Emphasis"/>
    <w:basedOn w:val="15"/>
    <w:qFormat/>
    <w:uiPriority w:val="0"/>
  </w:style>
  <w:style w:type="character" w:styleId="18">
    <w:name w:val="Hyperlink"/>
    <w:basedOn w:val="15"/>
    <w:uiPriority w:val="0"/>
    <w:rPr>
      <w:color w:val="0000FF"/>
      <w:u w:val="none"/>
    </w:rPr>
  </w:style>
  <w:style w:type="paragraph" w:customStyle="1" w:styleId="19">
    <w:name w:val="样式 标题 1 + 首行缩进:  2 字符"/>
    <w:basedOn w:val="3"/>
    <w:qFormat/>
    <w:uiPriority w:val="0"/>
    <w:pPr>
      <w:keepLines w:val="0"/>
      <w:spacing w:before="0" w:after="0" w:line="720" w:lineRule="auto"/>
      <w:ind w:firstLine="200" w:firstLineChars="200"/>
      <w:jc w:val="center"/>
    </w:pPr>
    <w:rPr>
      <w:rFonts w:ascii="黑体" w:eastAsia="黑体" w:cs="宋体"/>
      <w:kern w:val="2"/>
      <w:sz w:val="36"/>
      <w:szCs w:val="20"/>
    </w:rPr>
  </w:style>
  <w:style w:type="character" w:customStyle="1" w:styleId="20">
    <w:name w:val="znspantitle"/>
    <w:basedOn w:val="15"/>
    <w:uiPriority w:val="0"/>
    <w:rPr>
      <w:b/>
      <w:color w:val="333333"/>
    </w:rPr>
  </w:style>
  <w:style w:type="character" w:customStyle="1" w:styleId="21">
    <w:name w:val="bsharetext"/>
    <w:basedOn w:val="15"/>
    <w:uiPriority w:val="0"/>
  </w:style>
  <w:style w:type="character" w:customStyle="1" w:styleId="22">
    <w:name w:val="disabled"/>
    <w:basedOn w:val="15"/>
    <w:uiPriority w:val="0"/>
    <w:rPr>
      <w:vanish/>
    </w:rPr>
  </w:style>
  <w:style w:type="paragraph" w:customStyle="1" w:styleId="23">
    <w:name w:val="Default"/>
    <w:basedOn w:val="24"/>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纯文本1"/>
    <w:basedOn w:val="1"/>
    <w:qFormat/>
    <w:uiPriority w:val="0"/>
    <w:pPr>
      <w:adjustRightInd w:val="0"/>
      <w:textAlignment w:val="baseline"/>
    </w:pPr>
    <w:rPr>
      <w:rFonts w:hAnsi="Courier New"/>
      <w:kern w:val="2"/>
      <w:sz w:val="21"/>
    </w:rPr>
  </w:style>
  <w:style w:type="character" w:customStyle="1" w:styleId="25">
    <w:name w:val="NormalCharacter"/>
    <w:uiPriority w:val="0"/>
    <w:rPr>
      <w:kern w:val="2"/>
      <w:sz w:val="21"/>
      <w:szCs w:val="24"/>
      <w:lang w:val="en-US" w:eastAsia="zh-CN" w:bidi="ar-SA"/>
    </w:rPr>
  </w:style>
  <w:style w:type="paragraph" w:customStyle="1" w:styleId="26">
    <w:name w:val="《正文》"/>
    <w:basedOn w:val="1"/>
    <w:qFormat/>
    <w:uiPriority w:val="0"/>
    <w:pPr>
      <w:spacing w:line="360" w:lineRule="auto"/>
      <w:ind w:firstLine="200" w:firstLineChars="200"/>
    </w:pPr>
    <w:rPr>
      <w:sz w:val="24"/>
    </w:rPr>
  </w:style>
  <w:style w:type="paragraph" w:customStyle="1" w:styleId="27">
    <w:name w:val="Table Paragraph"/>
    <w:basedOn w:val="1"/>
    <w:qFormat/>
    <w:uiPriority w:val="1"/>
    <w:rPr>
      <w:rFonts w:ascii="仿宋" w:hAnsi="仿宋" w:eastAsia="仿宋" w:cs="仿宋"/>
      <w:lang w:val="zh-CN" w:bidi="zh-CN"/>
    </w:rPr>
  </w:style>
  <w:style w:type="paragraph" w:customStyle="1" w:styleId="28">
    <w:name w:val="正文缩进1"/>
    <w:basedOn w:val="1"/>
    <w:qFormat/>
    <w:uiPriority w:val="0"/>
    <w:pPr>
      <w:spacing w:line="520" w:lineRule="exact"/>
      <w:ind w:firstLine="624"/>
    </w:pPr>
    <w:rPr>
      <w:sz w:val="28"/>
    </w:rPr>
  </w:style>
  <w:style w:type="paragraph" w:customStyle="1" w:styleId="29">
    <w:name w:val="首行缩进表格正文"/>
    <w:basedOn w:val="1"/>
    <w:qFormat/>
    <w:uiPriority w:val="0"/>
    <w:pPr>
      <w:spacing w:line="360" w:lineRule="auto"/>
      <w:ind w:firstLine="720" w:firstLineChars="20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2091</Words>
  <Characters>2252</Characters>
  <Lines>0</Lines>
  <Paragraphs>0</Paragraphs>
  <TotalTime>10.3333333333333</TotalTime>
  <ScaleCrop>false</ScaleCrop>
  <LinksUpToDate>false</LinksUpToDate>
  <CharactersWithSpaces>2266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2020-08-14T07:30:00Z</dcterms:created>
  <dc:creator>Administrator</dc:creator>
  <cp:lastModifiedBy>小道消息</cp:lastModifiedBy>
  <cp:lastPrinted>2020-08-20T10:25:08Z</cp:lastPrinted>
  <dcterms:modified xsi:type="dcterms:W3CDTF">2026-07-16T02:24:55Z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99DF416B60964650983CC2BBE5FA59C0_13</vt:lpwstr>
  </property>
  <property fmtid="{D5CDD505-2E9C-101B-9397-08002B2CF9AE}" pid="4" name="KSOTemplateDocerSaveRecord">
    <vt:lpwstr>eyJoZGlkIjoiZjQzYjhiYzkzMDRmMTE2YmRkMGE5NjgxYmE2ODg1NjkiLCJ1c2VySWQiOiIxNDUxNzQ0MjA3In0=</vt:lpwstr>
  </property>
</Properties>
</file>